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Proficient programming thus usually requires expertise in several different subjects, including knowledge of the application domain, specialized algorithms, and formal logic.</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In the 9th century, the Arab mathematician Al-Kindi described a cryptographic algorithm for deciphering encrypted code, in A Manuscript on Deciphering Cryptographic Messages.</w:t>
        <w:br/>
        <w:t>In 1801, the Jacquard loom could produce entirely different weaves by changing the "program" – a series of pasteboard cards with holes punched in them.</w:t>
        <w:br/>
        <w:t>Normally the first step in debugging is to attempt to reproduce the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By the late 1960s, data storage devices and computer terminals became inexpensive enough that programs could be created by typing directly into the computers.</w:t>
        <w:br/>
        <w:t>For example, COBOL is still strong in corporate data centers often on large mainframe computers, Fortran in engineering applications, scripting languages in Web development, and C in embedded software.</w:t>
        <w:br/>
        <w:t xml:space="preserve"> Various visual programming languages have also been developed with the intent to resolve readability concerns by adopting non-traditional approaches to code structure and display.</w:t>
        <w:br/>
        <w:t xml:space="preserve"> Readability is important because programmers spend the majority of their time reading, trying to understand, reusing and modifying existing source code, rather than writing new source code.</w:t>
        <w:br/>
        <w:t>For this purpose, algorithms are classified into orders using so-called Big O notation, which expresses resource use, such as execution time or memory consumption, in terms of the size of an input.</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