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One approach popular for requirements analysis is Use Case analysis.</w:t>
        <w:br/>
        <w:t>Some languages are more prone to some kinds of faults because their specification does not require compilers to perform as much checking as other languages.</w:t>
        <w:br/>
        <w:t>This is interpreted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1206, the Arab engineer Al-Jazari invented a programmable drum machine where a musical mechanical automaton could be made to play different rhythms and drum patterns, via pegs and cams.</w:t>
        <w:br/>
        <w:t>Many factors, having little or nothing to do with the ability of the computer to efficiently compile and execute the code, contribute to readability.</w:t>
        <w:br/>
        <w:t>This is interpreted into machine code.</w:t>
        <w:br/>
        <w:t>Programming languages are essential for software development.</w:t>
        <w:br/>
        <w:t>Some text editors such as Emacs allow GDB to be invoked through them, to provide a visual environment.</w:t>
        <w:br/>
        <w:t>For example, COBOL is still strong in corporate data centers often on large mainframe computers, Fortran in engineering applications, scripting languages in Web development, and C in embedded software.</w:t>
        <w:br/>
        <w:t>He gave the first description of cryptanalysis by frequency analysis, the earliest code-breaking algorithm.</w:t>
        <w:br/>
        <w:t>In the 9th century, the Arab mathematician Al-Kindi described a cryptographic algorithm for deciphering encrypted code, in A Manuscript on Deciphering Cryptographic Messages.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