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Trial-and-error/divide-and-conquer is needed: the programmer will try to remove some parts of the original test case and check if the problem still exists.</w:t>
        <w:br/>
        <w:t>However, readability is more than just programming style.</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 xml:space="preserve"> The academic field and the engineering practice of computer programming are both largely concerned with discovering and implementing the most efficient algorithms for a given class of problems.</w:t>
        <w:br/>
        <w:t>There exist a lot of different approaches for each of those tasks.</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