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text editors such as Emacs allow GDB to be invoked through them, to provide a visual environment.</w:t>
        <w:br/>
        <w:t>They are the building blocks for all software, from the simplest applications to the most sophisticated ones.</w:t>
        <w:br/>
        <w:t>Trial-and-error/divide-and-conquer is needed: the programmer will try to remove some parts of the original test case and check if the problem still exists.</w:t>
        <w:br/>
        <w:t>They are the building blocks for all software, from the simplest applications to the most sophisticated ones.</w:t>
        <w:br/>
        <w:t>However, readability is more than just programming style.</w:t>
        <w:br/>
        <w:t xml:space="preserve"> Tasks accompanying and related to programming include testing, debugging, source code maintenance, implementation of build systems, and management of derived artifacts, such as the machine code of computer programs.</w:t>
        <w:br/>
        <w:t>Compilers harnessed the power of computers to make programming easier by allowing programmers to specify calculations by entering a formula using infix notation.</w:t>
        <w:br/>
        <w:t xml:space="preserve"> Implementation techniques include imperative languages (object-oriented or procedural), functional languages, and logic languages.</w:t>
        <w:br/>
        <w:t>However, Charles Babbage had already written his first program for the Analytical Engine in 1837.</w:t>
        <w:br/>
        <w:t>Text editors were also developed that allowed changes and corrections to be made much more easily than with punched cards.</w:t>
        <w:br/>
        <w:t>When debugging the problem in a GUI, the programmer can try to skip some user interaction from the original problem description and check if remaining actions are sufficient for bugs to appear.</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