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Compiling takes the source code from a low-level programming language and converts it into machine code.</w:t>
        <w:br/>
        <w:t>The Unified Modeling Language (UML) is a notation used for both the OOAD and MDA.</w:t>
        <w:br/>
        <w:t>Techniques like Code refactoring can enhance readability.</w:t>
        <w:br/>
        <w:t>Trial-and-error/divide-and-conquer is needed: the programmer will try to remove some parts of the original test case and check if the problem still exists.</w:t>
        <w:br/>
        <w:t>However, because an assembly language is little more than a different notation for a machine language,  two machines with different instruction sets also have different assembly languages.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Compiling takes the source code from a low-level programming language and converts it into machine code.</w:t>
        <w:br/>
        <w:t>This is interpreted into machine code.</w:t>
        <w:br/>
        <w:t>Compilers harnessed the power of computers to make programming easier by allowing programmers to specify calculations by entering a formula using infix notation.</w:t>
        <w:br/>
        <w:t>However, with the concept of the stored-program computer introduced in 1949, both programs and data were stored and manipulated in the same way in computer memory.</w:t>
        <w:br/>
        <w:t xml:space="preserve"> Whatever the approach to development may be, the final program must satisfy some fundamental properties.</w:t>
        <w:br/>
        <w:t xml:space="preserve"> In the 1880s, Herman Hollerith invented the concept of storing data in machine-readable form.</w:t>
        <w:br/>
        <w:t>He gave the first description of cryptanalysis by frequency analysis, the earliest code-breaking algorithm.</w:t>
        <w:br/>
        <w:t>Unreadable code often leads to bugs, inefficiencies, and duplicated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