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Trial-and-error/divide-and-conquer is needed: the programmer will try to remove some parts of the original test case and check if the problem still exists.</w:t>
        <w:br/>
        <w:t>This is interpreted into machine code.</w:t>
        <w:br/>
        <w:t>This can be a non-trivial task, for example as with parallel processes or some unusual software bugs.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Charles Babbage had already written his first program for the Analytical Engine in 1837.</w:t>
        <w:br/>
        <w:t>Many factors, having little or nothing to do with the ability of the computer to efficiently compile and execute the code, contribute to readability.</w:t>
        <w:br/>
        <w:t xml:space="preserve"> Popular modeling techniques include Object-Oriented Analysis and Design (OOAD) and Model-Driven Architecture (MDA).</w:t>
        <w:br/>
        <w:t>Programming languages are essential for software development.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Expert programmers are familiar with a variety of well-established algorithms and their respective complexities and use this knowledge to choose algorithms that are best suited to the circumstances.</w:t>
        <w:br/>
        <w:t>The source code of a program is written in one or more languages that are intelligible to programmers, rather than machine code, which is directly executed by the central processing unit.</w:t>
        <w:br/>
        <w:t>Unreadable code often leads to bugs, inefficiencies, and duplicated code.</w:t>
        <w:br/>
        <w:t xml:space="preserve"> Various visual programming languages have also been developed with the intent to resolve readability concerns by adopting non-traditional approaches to code structure and display.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