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The choice of language used is subject to many considerations, such as company policy, suitability to task, availability of third-party packages, or individual preference.</w:t>
        <w:br/>
        <w:t>The Unified Modeling Language (UML) is a notation used for both the OOAD and MDA.</w:t>
        <w:br/>
        <w:t>Scripting and breakpointing is also part of this process.</w:t>
        <w:br/>
        <w:t>In the 9th century, the Arab mathematician Al-Kindi described a cryptographic algorithm for deciphering encrypted code, in A Manuscript on Deciphering Cryptographic Messages.</w:t>
        <w:br/>
        <w:t>There are many approaches to the Software development process.</w:t>
        <w:br/>
        <w:t>Many applications use a mix of several languages in their construction and use.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Unreadable code often leads to bugs, inefficiencies, and duplicated code.</w:t>
        <w:br/>
        <w:t>Provided the functions in a library follow the appropriate run-time conventions (e.g., method of passing arguments), then these functions may be written in any other language.</w:t>
        <w:br/>
        <w:t>He gave the first description of cryptanalysis by frequency analysis, the earliest code-breaking algorithm.</w:t>
        <w:br/>
        <w:t>For this purpose, algorithms are classified into orders using so-called Big O notation, which expresses resource use, such as execution time or memory consumption, in terms of the size of an input.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readability is more than just programming style.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