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He gave the first description of cryptanalysis by frequency analysis, the earliest code-breaking algorithm.</w:t>
        <w:br/>
        <w:t>The source code of a program is written in one or more languages that are intelligible to programmers, rather than machine code, which is directly executed by the central processing unit.</w:t>
        <w:br/>
        <w:t>It affects the aspects of quality above, including portability, usability and most importantly maintainability.</w:t>
        <w:br/>
        <w:t>One approach popular for requirements analysis is Use Case analysis.</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To produce machine code, the source code must either be compiled or transpiled.</w:t>
        <w:br/>
        <w:t>However, with the concept of the stored-program computer introduced in 1949, both programs and data were stored and manipulated in the same way in computer memory.</w:t>
        <w:br/>
        <w:t xml:space="preserve"> Following a consistent programming style often helps readability.</w:t>
        <w:br/>
        <w:t>To produce machine code, the source code must either be compiled or transpiled.</w:t>
        <w:br/>
        <w:br/>
        <w:t>The first compiler related tool, the A-0 System, was developed in 1952 by Grace Hopper, who also coined the term 'compiler'.</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