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However, with the concept of the stored-program computer introduced in 1949, both programs and data were stored and manipulated in the same way in computer memory.</w:t>
        <w:br/>
        <w:t>However, Charles Babbage had already written his first program for the Analytical Engine in 1837.</w:t>
        <w:br/>
        <w:t>Many factors, having little or nothing to do with the ability of the computer to efficiently compile and execute the code, contribute to readability.</w:t>
        <w:br/>
        <w:t>Some text editors such as Emacs allow GDB to be invoked through them, to provide a visual environment.</w:t>
        <w:b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 xml:space="preserve"> In the 1880s, Herman Hollerith invented the concept of storing data in machine-readable form.</w:t>
        <w:br/>
        <w:t xml:space="preserve"> The first computer program is generally dated to 1843, when mathematician Ada Lovelace published an algorithm to calculate a sequence of Bernoulli numbers, intended to be carried out by Charles Babbage's Analytical Engine.</w:t>
        <w:br/>
        <w:t xml:space="preserve"> Programmable devices have existed for centuries.</w:t>
        <w:br/>
        <w:t xml:space="preserve"> Computer programmers are those who write computer software.</w:t>
        <w:br/>
        <w:t xml:space="preserve"> It is very difficult to determine what are the most popular modern programming languages.</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