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To produce machine code, the source code must either be compiled or transpiled.</w:t>
        <w:br/>
        <w:t>It is usually easier to code in "high-level" languages than in "low-level" ones.</w:t>
        <w:br/>
        <w:t>In 1801, the Jacquard loom could produce entirely different weaves by changing the "program" – a series of pasteboard cards with holes punched in them.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Proficient programming thus usually requires expertise in several different subjects, including knowledge of the application domain, specialized algorithms, and formal logic.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is interpreted into machine code.</w:t>
        <w:br/>
        <w:t>However, with the concept of the stored-program computer introduced in 1949, both programs and data were stored and manipulated in the same way in computer memory.</w:t>
        <w:br/>
        <w:t xml:space="preserve"> A similar technique used for database design is Entity-Relationship Modeling (ER Modeling).</w:t>
        <w:br/>
        <w:t xml:space="preserve"> Following a consistent programming style often helps readability.</w:t>
        <w:br/>
        <w:br/>
        <w:t xml:space="preserve"> The first step in most formal software development processes is requirements analysis, followed by testing to determine value modeling, implementation, and failure elimination (debugging).</w:t>
        <w:br/>
        <w:t>However, readability is more than just programming style.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