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He gave the first description of cryptanalysis by frequency analysis, the earliest code-breaking algorithm.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1206, the Arab engineer Al-Jazari invented a programmable drum machine where a musical mechanical automaton could be made to play different rhythms and drum patterns, via pegs and cams.</w:t>
        <w:br/>
        <w:t>The choice of language used is subject to many considerations, such as company policy, suitability to task, availability of third-party packages, or individual preference.</w:t>
        <w:br/>
        <w:t>In the 9th century, the Arab mathematician Al-Kindi described a cryptographic algorithm for deciphering encrypted code, in A Manuscript on Deciphering Cryptographic Messages.</w:t>
        <w:br/>
        <w:t>To produce machine code, the source code must either be compiled or transpiled.</w:t>
        <w:br/>
        <w:t>Compilers harnessed the power of computers to make programming easier by allowing programmers to specify calculations by entering a formula using infix notation.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It affects the aspects of quality above, including portability, usability and most importantly maintainability.</w:t>
        <w:br/>
        <w:t>Unreadable code often leads to bugs, inefficiencies, and duplicated code.</w:t>
        <w:br/>
        <w:t xml:space="preserve"> Programs were mostly entered using punched cards or paper tape.</w:t>
        <w:br/>
        <w:t>The choice of language used is subject to many considerations, such as company policy, suitability to task, availability of third-party packages, or individual preference.</w:t>
        <w:br/>
        <w:t>The choice of language used is subject to many considerations, such as company policy, suitability to task, availability of third-party packages, or individual preference.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