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As early as the 9th century, a programmable music sequencer was invented by the Persian Banu Musa brothers, who described an automated mechanical flute player in the Book of Ingenious Devices.</w:t>
        <w:br/>
        <w:t>However, readability is more than just programming style.</w:t>
        <w:br/>
        <w:t>This is interpreted into machine code.</w:t>
        <w:br/>
        <w:t>The choice of language used is subject to many considerations, such as company policy, suitability to task, availability of third-party packages, or individual preference.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 first step in most formal software development processes is requirements analysis, followed by testing to determine value modeling, implementation, and failure elimination (debugging).</w:t>
        <w:br/>
        <w:t xml:space="preserve"> The first step in most formal software development processes is requirements analysis, followed by testing to determine value modeling, implementation, and failure elimination (debugging).</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 xml:space="preserve"> Code-breaking algorithms have also existed for centuries.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