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In the 9th century, the Arab mathematician Al-Kindi described a cryptographic algorithm for deciphering encrypted code, in A Manuscript on Deciphering Cryptographic Messages.</w:t>
        <w:br/>
        <w:t>Many applications use a mix of several languages in their construction and use.</w:t>
        <w:br/>
        <w:t>Some text editors such as Emacs allow GDB to be invoked through them, to provide a visual environment.</w:t>
        <w:br/>
        <w:t>The Unified Modeling Language (UML) is a notation used for both the OOAD and MDA.</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 xml:space="preserve"> The academic field and the engineering practice of computer programming are both largely concerned with discovering and implementing the most efficient algorithms for a given class of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