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Relatedly, software engineering combines engineering techniques and principles with software development.</w:t>
        <w:br/>
        <w:t>In 1801, the Jacquard loom could produce entirely different weaves by changing the "program" – a series of pasteboard cards with holes punched in them.</w:t>
        <w:br/>
        <w:t>There exist a lot of different approaches for each of those tasks.</w:t>
        <w:br/>
        <w:t>However, because an assembly language is little more than a different notation for a machine language,  two machines with different instruction sets also have different assembly languages.</w:t>
        <w:br/>
        <w:t>As early as the 9th century, a programmable music sequencer was invented by the Persian Banu Musa brothers, who described an automated mechanical flute player in the Book of Ingenious Devices.</w:t>
        <w:br/>
        <w:t>Also, specific user environment and usage history can make it difficult to reproduce the problem.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It affects the aspects of quality above, including portability, usability and most importantly maintainability.</w:t>
        <w:br/>
        <w:t>Compiling takes the source code from a low-level programming language and converts it into machine code.</w:t>
        <w:br/>
        <w:t>Integrated development environments (IDEs) aim to integrate all such help.</w:t>
        <w:br/>
        <w:t>The choice of language used is subject to many considerations, such as company policy, suitability to task, availability of third-party packages, or individual preference.</w:t>
        <w:br/>
        <w:t xml:space="preserve"> In the 1880s, Herman Hollerith invented the concept of storing data in machine-readable form.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