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E0A" w:rsidRDefault="006B3FCD">
      <w:pPr>
        <w:jc w:val="center"/>
      </w:pPr>
      <w:r>
        <w:rPr>
          <w:rFonts w:ascii="Aptos" w:hAnsi="Aptos"/>
          <w:color w:val="000000"/>
          <w:sz w:val="44"/>
        </w:rPr>
        <w:t>The Art of Governance: Navigating the Labyrinth of Public Administration</w:t>
      </w:r>
    </w:p>
    <w:p w:rsidR="00D83E0A" w:rsidRDefault="006B3FCD">
      <w:pPr>
        <w:pStyle w:val="NoSpacing"/>
        <w:jc w:val="center"/>
      </w:pPr>
      <w:r>
        <w:rPr>
          <w:rFonts w:ascii="Aptos" w:hAnsi="Aptos"/>
          <w:color w:val="000000"/>
          <w:sz w:val="36"/>
        </w:rPr>
        <w:t>Ms</w:t>
      </w:r>
      <w:r w:rsidR="009D53A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Carter</w:t>
      </w:r>
    </w:p>
    <w:p w:rsidR="00D83E0A" w:rsidRDefault="006B3FCD">
      <w:pPr>
        <w:jc w:val="center"/>
      </w:pPr>
      <w:r>
        <w:rPr>
          <w:rFonts w:ascii="Aptos" w:hAnsi="Aptos"/>
          <w:color w:val="000000"/>
          <w:sz w:val="32"/>
        </w:rPr>
        <w:t>janecarter@educationalhub</w:t>
      </w:r>
      <w:r w:rsidR="009D53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</w:t>
      </w:r>
      <w:r w:rsidR="009D53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83E0A" w:rsidRDefault="00D83E0A"/>
    <w:p w:rsidR="00D83E0A" w:rsidRDefault="006B3FCD">
      <w:r>
        <w:rPr>
          <w:rFonts w:ascii="Aptos" w:hAnsi="Aptos"/>
          <w:color w:val="000000"/>
          <w:sz w:val="24"/>
        </w:rPr>
        <w:t>Embarking on a journey through the intricate world of governance is akin to traversing a labyrinth, where countless paths diverge and converge, each leading to a unique tapestry of societal outcomes</w:t>
      </w:r>
      <w:r w:rsidR="009D5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Governance, in essence, is the art of steering the ship of state, ensuring its smooth and efficient operation while safeguarding the interests of its citizens</w:t>
      </w:r>
      <w:r w:rsidR="009D5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discourse, we shall delve into the complexities of governance, unveiling the profound impact it has on our collective existence</w:t>
      </w:r>
      <w:r w:rsidR="009D5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conductor orchestrating a symphony, governance harmonizes the diverse elements of society, ensuring their seamless collaboration towards shared objectives</w:t>
      </w:r>
      <w:r w:rsidR="009D5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the allocation of resources, the enforcement of laws, or the provision of essential services, governance acts as the invisible hand that shapes our communities</w:t>
      </w:r>
      <w:r w:rsidR="009D5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bustling streets of metropolises to the serene landscapes of rural villages, the effects of governance are ubiquitous, affecting every aspect of our lives</w:t>
      </w:r>
      <w:r w:rsidR="009D5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Governance, however, is not a monolithic entity; it manifests itself in myriad forms across different societies</w:t>
      </w:r>
      <w:r w:rsidR="009D5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classical Athenian democracy, where citizens directly participated in decision-making, to the modern-day representative democracies, where elected officials serve as the voice of the people, governance has evolved alongside human civilization</w:t>
      </w:r>
      <w:r w:rsidR="009D5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model bears its own strengths and challenges, reflecting the unique cultural, historical, and socio-economic contexts in which it operates</w:t>
      </w:r>
      <w:r w:rsidR="009D53A0">
        <w:rPr>
          <w:rFonts w:ascii="Aptos" w:hAnsi="Aptos"/>
          <w:color w:val="000000"/>
          <w:sz w:val="24"/>
        </w:rPr>
        <w:t>.</w:t>
      </w:r>
    </w:p>
    <w:p w:rsidR="00D83E0A" w:rsidRDefault="006B3FCD">
      <w:r>
        <w:rPr>
          <w:rFonts w:ascii="Aptos" w:hAnsi="Aptos"/>
          <w:color w:val="000000"/>
          <w:sz w:val="28"/>
        </w:rPr>
        <w:t>Summary</w:t>
      </w:r>
    </w:p>
    <w:p w:rsidR="00D83E0A" w:rsidRDefault="006B3FCD">
      <w:r>
        <w:rPr>
          <w:rFonts w:ascii="Aptos" w:hAnsi="Aptos"/>
          <w:color w:val="000000"/>
        </w:rPr>
        <w:t>In conclusion, governance stands as the cornerstone of human civilization, providing the framework for peaceful coexistence and collective progress</w:t>
      </w:r>
      <w:r w:rsidR="009D53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intricate mechanisms, like the gears of a finely tuned machine, orchestrate the complex interactions within society, ensuring order, stability, and the pursuit of common goals</w:t>
      </w:r>
      <w:r w:rsidR="009D53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examination of </w:t>
      </w:r>
      <w:r>
        <w:rPr>
          <w:rFonts w:ascii="Aptos" w:hAnsi="Aptos"/>
          <w:color w:val="000000"/>
        </w:rPr>
        <w:lastRenderedPageBreak/>
        <w:t>governance, we gain a deeper appreciation for the challenges and opportunities inherent in the art of public administration</w:t>
      </w:r>
      <w:r w:rsidR="009D53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citizens, it is our responsibility to actively participate in shaping our governance systems, holding our leaders accountable and working together to build a just, equitable, and sustainable society for generations to come</w:t>
      </w:r>
      <w:r w:rsidR="009D53A0">
        <w:rPr>
          <w:rFonts w:ascii="Aptos" w:hAnsi="Aptos"/>
          <w:color w:val="000000"/>
        </w:rPr>
        <w:t>.</w:t>
      </w:r>
    </w:p>
    <w:p w:rsidR="00D83E0A" w:rsidRDefault="00D83E0A"/>
    <w:sectPr w:rsidR="00D83E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309538">
    <w:abstractNumId w:val="8"/>
  </w:num>
  <w:num w:numId="2" w16cid:durableId="611060222">
    <w:abstractNumId w:val="6"/>
  </w:num>
  <w:num w:numId="3" w16cid:durableId="1150904883">
    <w:abstractNumId w:val="5"/>
  </w:num>
  <w:num w:numId="4" w16cid:durableId="1676805634">
    <w:abstractNumId w:val="4"/>
  </w:num>
  <w:num w:numId="5" w16cid:durableId="423376959">
    <w:abstractNumId w:val="7"/>
  </w:num>
  <w:num w:numId="6" w16cid:durableId="267198144">
    <w:abstractNumId w:val="3"/>
  </w:num>
  <w:num w:numId="7" w16cid:durableId="1340159298">
    <w:abstractNumId w:val="2"/>
  </w:num>
  <w:num w:numId="8" w16cid:durableId="608467380">
    <w:abstractNumId w:val="1"/>
  </w:num>
  <w:num w:numId="9" w16cid:durableId="2069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FCD"/>
    <w:rsid w:val="009D53A0"/>
    <w:rsid w:val="00AA1D8D"/>
    <w:rsid w:val="00B47730"/>
    <w:rsid w:val="00CB0664"/>
    <w:rsid w:val="00D83E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