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676" w:rsidRDefault="008B758D">
      <w:pPr>
        <w:jc w:val="center"/>
      </w:pPr>
      <w:r>
        <w:rPr>
          <w:rFonts w:ascii="Aptos" w:hAnsi="Aptos"/>
          <w:color w:val="000000"/>
          <w:sz w:val="44"/>
        </w:rPr>
        <w:t>The Significance of Civic Engagement in Shaping Our Democratic Future</w:t>
      </w:r>
    </w:p>
    <w:p w:rsidR="00A72676" w:rsidRDefault="008B75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Hannah Mitchell</w:t>
      </w:r>
    </w:p>
    <w:p w:rsidR="00A72676" w:rsidRDefault="008B758D">
      <w:pPr>
        <w:jc w:val="center"/>
      </w:pPr>
      <w:r>
        <w:rPr>
          <w:rFonts w:ascii="Aptos" w:hAnsi="Aptos"/>
          <w:color w:val="000000"/>
          <w:sz w:val="32"/>
        </w:rPr>
        <w:t>mitchellhan@privateconnect</w:t>
      </w:r>
      <w:r w:rsidR="007F75A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72676" w:rsidRDefault="00A72676"/>
    <w:p w:rsidR="00A72676" w:rsidRDefault="008B758D">
      <w:r>
        <w:rPr>
          <w:rFonts w:ascii="Aptos" w:hAnsi="Aptos"/>
          <w:color w:val="000000"/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endeavors, engaged citizens contribute to the vitality of their communities and safeguard the integrity of democratic principles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intricate dance of civic engagement, citizens assume the mantle of active participants, rather than passive spectators, in the governance of their communities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engage in informed dialogues with elected officials, advocating for policies that align with their values and aspirations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exercising their right to vote, they hold decision-makers accountable for their actions and shape the direction of public policy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tapestry of civic engagement is woven from the threads of individual actions, each contributing to the vibrant fabric of a healthy democracy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7F7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7F75AA">
        <w:rPr>
          <w:rFonts w:ascii="Aptos" w:hAnsi="Aptos"/>
          <w:color w:val="000000"/>
          <w:sz w:val="24"/>
        </w:rPr>
        <w:t>.</w:t>
      </w:r>
    </w:p>
    <w:p w:rsidR="00A72676" w:rsidRDefault="008B758D">
      <w:r>
        <w:rPr>
          <w:rFonts w:ascii="Aptos" w:hAnsi="Aptos"/>
          <w:color w:val="000000"/>
          <w:sz w:val="28"/>
        </w:rPr>
        <w:lastRenderedPageBreak/>
        <w:t>Summary</w:t>
      </w:r>
    </w:p>
    <w:p w:rsidR="00A72676" w:rsidRDefault="008B758D">
      <w:r>
        <w:rPr>
          <w:rFonts w:ascii="Aptos" w:hAnsi="Aptos"/>
          <w:color w:val="000000"/>
        </w:rPr>
        <w:t>Civic engagement stands as a cornerstone of democratic governance, empowering citizens to actively participate in shaping their communities and ensuring the accountability of elected officials</w:t>
      </w:r>
      <w:r w:rsidR="007F7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informed dialogues, active participation in public affairs, and community involvement, engaged citizens contribute to the vibrancy and resilience of their communities</w:t>
      </w:r>
      <w:r w:rsidR="007F7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Civic engagement promotes transparency, responsiveness, and accountability in government, leading to improved decision-making and better outcomes for all</w:t>
      </w:r>
      <w:r w:rsidR="007F7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7F75AA">
        <w:rPr>
          <w:rFonts w:ascii="Aptos" w:hAnsi="Aptos"/>
          <w:color w:val="000000"/>
        </w:rPr>
        <w:t>.</w:t>
      </w:r>
    </w:p>
    <w:p w:rsidR="00A72676" w:rsidRDefault="00A72676"/>
    <w:sectPr w:rsidR="00A72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19238">
    <w:abstractNumId w:val="8"/>
  </w:num>
  <w:num w:numId="2" w16cid:durableId="479344166">
    <w:abstractNumId w:val="6"/>
  </w:num>
  <w:num w:numId="3" w16cid:durableId="1106854175">
    <w:abstractNumId w:val="5"/>
  </w:num>
  <w:num w:numId="4" w16cid:durableId="2035500408">
    <w:abstractNumId w:val="4"/>
  </w:num>
  <w:num w:numId="5" w16cid:durableId="1631009437">
    <w:abstractNumId w:val="7"/>
  </w:num>
  <w:num w:numId="6" w16cid:durableId="468979771">
    <w:abstractNumId w:val="3"/>
  </w:num>
  <w:num w:numId="7" w16cid:durableId="232353503">
    <w:abstractNumId w:val="2"/>
  </w:num>
  <w:num w:numId="8" w16cid:durableId="1142425081">
    <w:abstractNumId w:val="1"/>
  </w:num>
  <w:num w:numId="9" w16cid:durableId="14204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5AA"/>
    <w:rsid w:val="008B758D"/>
    <w:rsid w:val="00A726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