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762" w:rsidRDefault="005D1120">
      <w:pPr>
        <w:jc w:val="center"/>
      </w:pPr>
      <w:r>
        <w:rPr>
          <w:rFonts w:ascii="Calibri" w:hAnsi="Calibri"/>
          <w:color w:val="000000"/>
          <w:sz w:val="44"/>
        </w:rPr>
        <w:t>The Art of Communication: Exploring the Realm of Language and Expression</w:t>
      </w:r>
    </w:p>
    <w:p w:rsidR="006C5762" w:rsidRDefault="005D112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0972F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Bradshaw</w:t>
      </w:r>
    </w:p>
    <w:p w:rsidR="006C5762" w:rsidRDefault="005D1120">
      <w:pPr>
        <w:jc w:val="center"/>
      </w:pPr>
      <w:r>
        <w:rPr>
          <w:rFonts w:ascii="Calibri" w:hAnsi="Calibri"/>
          <w:color w:val="000000"/>
          <w:sz w:val="32"/>
        </w:rPr>
        <w:t>ebradshaw@highlandschool</w:t>
      </w:r>
      <w:r w:rsidR="000972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C5762" w:rsidRDefault="006C5762"/>
    <w:p w:rsidR="006C5762" w:rsidRDefault="005D1120">
      <w:r>
        <w:rPr>
          <w:rFonts w:ascii="Calibri" w:hAnsi="Calibri"/>
          <w:color w:val="000000"/>
          <w:sz w:val="24"/>
        </w:rPr>
        <w:t>In the tapestry of human existence, language stands as a vibrant thread, weaving together the intricate web of our thoughts and emotions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Words, like colorful brushstrokes, paint the canvas of our reality, shaping our perceptions and understanding of the world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carry within them the weight of history, the echoes of countless voices, and the potential to ignite both joy and sorrow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communication, persuasion stands as a potent force, capable of swaying hearts and minds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art that requires both finesse and strategy, the ability to craft messages that resonate with audiences and inspire them to action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0972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delve into the dynamics of nonverbal communication, deciphering the subtle cues and body language that often speak louder than words</w:t>
      </w:r>
      <w:r w:rsidR="000972F0">
        <w:rPr>
          <w:rFonts w:ascii="Calibri" w:hAnsi="Calibri"/>
          <w:color w:val="000000"/>
          <w:sz w:val="24"/>
        </w:rPr>
        <w:t>.</w:t>
      </w:r>
    </w:p>
    <w:p w:rsidR="006C5762" w:rsidRDefault="005D1120">
      <w:r>
        <w:rPr>
          <w:rFonts w:ascii="Calibri" w:hAnsi="Calibri"/>
          <w:color w:val="000000"/>
          <w:sz w:val="28"/>
        </w:rPr>
        <w:t>Summary</w:t>
      </w:r>
    </w:p>
    <w:p w:rsidR="006C5762" w:rsidRDefault="005D1120">
      <w:r>
        <w:rPr>
          <w:rFonts w:ascii="Calibri" w:hAnsi="Calibri"/>
          <w:color w:val="000000"/>
        </w:rPr>
        <w:t>In this essay, we have embarked on a captivating journey through the realm of language and expression</w:t>
      </w:r>
      <w:r w:rsidR="000972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the complexities of linguistic diversity, gaining an appreciation for the multitude of tongues that enrich our world</w:t>
      </w:r>
      <w:r w:rsidR="000972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art of persuasion, unraveling the techniques and strategies that enable us to convey our messages with impact</w:t>
      </w:r>
      <w:r w:rsidR="000972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Finally, we have delved into the nuances of effective communication, recognizing the importance of clarity, empathy, and active listening</w:t>
      </w:r>
      <w:r w:rsidR="000972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May this journey inspire you to embrace the power of language, to communicate with intention and empathy, and to make a meaningful impact on the world around you</w:t>
      </w:r>
      <w:r w:rsidR="000972F0">
        <w:rPr>
          <w:rFonts w:ascii="Calibri" w:hAnsi="Calibri"/>
          <w:color w:val="000000"/>
        </w:rPr>
        <w:t>.</w:t>
      </w:r>
    </w:p>
    <w:p w:rsidR="006C5762" w:rsidRDefault="006C5762"/>
    <w:sectPr w:rsidR="006C5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7419943">
    <w:abstractNumId w:val="8"/>
  </w:num>
  <w:num w:numId="2" w16cid:durableId="1835533759">
    <w:abstractNumId w:val="6"/>
  </w:num>
  <w:num w:numId="3" w16cid:durableId="592130122">
    <w:abstractNumId w:val="5"/>
  </w:num>
  <w:num w:numId="4" w16cid:durableId="1480268953">
    <w:abstractNumId w:val="4"/>
  </w:num>
  <w:num w:numId="5" w16cid:durableId="1498881054">
    <w:abstractNumId w:val="7"/>
  </w:num>
  <w:num w:numId="6" w16cid:durableId="925265753">
    <w:abstractNumId w:val="3"/>
  </w:num>
  <w:num w:numId="7" w16cid:durableId="1781799055">
    <w:abstractNumId w:val="2"/>
  </w:num>
  <w:num w:numId="8" w16cid:durableId="1736589704">
    <w:abstractNumId w:val="1"/>
  </w:num>
  <w:num w:numId="9" w16cid:durableId="127972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2F0"/>
    <w:rsid w:val="0015074B"/>
    <w:rsid w:val="0029639D"/>
    <w:rsid w:val="00326F90"/>
    <w:rsid w:val="005D1120"/>
    <w:rsid w:val="006C57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