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1DB" w:rsidRDefault="00CC129A">
      <w:pPr>
        <w:jc w:val="center"/>
      </w:pPr>
      <w:r>
        <w:rPr>
          <w:rFonts w:ascii="Calibri" w:hAnsi="Calibri"/>
          <w:color w:val="000000"/>
          <w:sz w:val="44"/>
        </w:rPr>
        <w:t>History: Witnessing the Echoes of Time</w:t>
      </w:r>
    </w:p>
    <w:p w:rsidR="003961DB" w:rsidRDefault="00CC129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Parker</w:t>
      </w:r>
    </w:p>
    <w:p w:rsidR="003961DB" w:rsidRDefault="00CC129A">
      <w:pPr>
        <w:jc w:val="center"/>
      </w:pPr>
      <w:r>
        <w:rPr>
          <w:rFonts w:ascii="Calibri" w:hAnsi="Calibri"/>
          <w:color w:val="000000"/>
          <w:sz w:val="32"/>
        </w:rPr>
        <w:t>emilyparker</w:t>
      </w:r>
      <w:r w:rsidR="008C16F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961DB" w:rsidRDefault="003961DB"/>
    <w:p w:rsidR="003961DB" w:rsidRDefault="00CC129A">
      <w:r>
        <w:rPr>
          <w:rFonts w:ascii="Calibri" w:hAnsi="Calibri"/>
          <w:color w:val="000000"/>
          <w:sz w:val="24"/>
        </w:rPr>
        <w:t>History is the tale of humanity, an unfolding narrative of triumph, struggle, and transformation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vast tapestry woven with the colorful threads of events, decisions, and people that have shaped our world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a symphony of voices, each contributing their unique melodies to the grand composition of time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It is in the annals of history that we find the seeds of inspiration, the lessons of resilience, and the blueprints for a brighter future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from the triumphs of leaders, the sacrifices of ordinary citizens, and the resilience of communities that overcame adversity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serves as a mirror, reflecting our strengths and weaknesses, our triumphs and failures, and the choices that have led us to the present moment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history unveils the interconnectedness of human experiences, weaving a web of cause and effect that spans across time and cultures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actions of one group or individual, we can often glimpse the ripple effects that reverberated throughout history</w:t>
      </w:r>
      <w:r w:rsidR="008C16F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8C16FD">
        <w:rPr>
          <w:rFonts w:ascii="Calibri" w:hAnsi="Calibri"/>
          <w:color w:val="000000"/>
          <w:sz w:val="24"/>
        </w:rPr>
        <w:t>.</w:t>
      </w:r>
    </w:p>
    <w:p w:rsidR="003961DB" w:rsidRDefault="00CC129A">
      <w:r>
        <w:rPr>
          <w:rFonts w:ascii="Calibri" w:hAnsi="Calibri"/>
          <w:color w:val="000000"/>
          <w:sz w:val="28"/>
        </w:rPr>
        <w:t>Summary</w:t>
      </w:r>
    </w:p>
    <w:p w:rsidR="003961DB" w:rsidRDefault="00CC129A">
      <w:r>
        <w:rPr>
          <w:rFonts w:ascii="Calibri" w:hAnsi="Calibri"/>
          <w:color w:val="000000"/>
        </w:rPr>
        <w:t>History is a living testament to the enduring legacy of human actions</w:t>
      </w:r>
      <w:r w:rsidR="008C16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vast repository of knowledge, wisdom, and experience that offers invaluable lessons for the present</w:t>
      </w:r>
      <w:r w:rsidR="008C16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echoes of time, we gain a deeper understanding of ourselves, our communities, and our place in the grand tapestry of human existence</w:t>
      </w:r>
      <w:r w:rsidR="008C16F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is not merely a collection of dates and events; it is a captivating narrative of triumph, struggle, and transformation that continues to unfold with each passing day</w:t>
      </w:r>
      <w:r w:rsidR="008C16FD">
        <w:rPr>
          <w:rFonts w:ascii="Calibri" w:hAnsi="Calibri"/>
          <w:color w:val="000000"/>
        </w:rPr>
        <w:t>.</w:t>
      </w:r>
    </w:p>
    <w:p w:rsidR="003961DB" w:rsidRDefault="003961DB"/>
    <w:sectPr w:rsidR="00396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211227">
    <w:abstractNumId w:val="8"/>
  </w:num>
  <w:num w:numId="2" w16cid:durableId="1550990952">
    <w:abstractNumId w:val="6"/>
  </w:num>
  <w:num w:numId="3" w16cid:durableId="1561600643">
    <w:abstractNumId w:val="5"/>
  </w:num>
  <w:num w:numId="4" w16cid:durableId="1959291037">
    <w:abstractNumId w:val="4"/>
  </w:num>
  <w:num w:numId="5" w16cid:durableId="753433839">
    <w:abstractNumId w:val="7"/>
  </w:num>
  <w:num w:numId="6" w16cid:durableId="2020082277">
    <w:abstractNumId w:val="3"/>
  </w:num>
  <w:num w:numId="7" w16cid:durableId="1398671623">
    <w:abstractNumId w:val="2"/>
  </w:num>
  <w:num w:numId="8" w16cid:durableId="689570453">
    <w:abstractNumId w:val="1"/>
  </w:num>
  <w:num w:numId="9" w16cid:durableId="141397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1DB"/>
    <w:rsid w:val="008C16FD"/>
    <w:rsid w:val="00AA1D8D"/>
    <w:rsid w:val="00B47730"/>
    <w:rsid w:val="00CB0664"/>
    <w:rsid w:val="00CC12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