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EAC" w:rsidRDefault="00FF1E6A">
      <w:pPr>
        <w:jc w:val="center"/>
      </w:pPr>
      <w:r>
        <w:rPr>
          <w:rFonts w:ascii="Times New Roman" w:hAnsi="Times New Roman"/>
          <w:color w:val="000000"/>
          <w:sz w:val="44"/>
        </w:rPr>
        <w:t>Government: The Symphony of Citizen Engagement</w:t>
      </w:r>
    </w:p>
    <w:p w:rsidR="00623EAC" w:rsidRDefault="00FF1E6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Benjamin Longfellow</w:t>
      </w:r>
    </w:p>
    <w:p w:rsidR="00623EAC" w:rsidRDefault="00FF1E6A">
      <w:pPr>
        <w:jc w:val="center"/>
      </w:pPr>
      <w:r>
        <w:rPr>
          <w:rFonts w:ascii="Times New Roman" w:hAnsi="Times New Roman"/>
          <w:color w:val="000000"/>
          <w:sz w:val="32"/>
        </w:rPr>
        <w:t>benlongfellow4@eduworld</w:t>
      </w:r>
      <w:r w:rsidR="00FE23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23EAC" w:rsidRDefault="00623EAC"/>
    <w:p w:rsidR="00623EAC" w:rsidRDefault="00FF1E6A">
      <w:r>
        <w:rPr>
          <w:rFonts w:ascii="Times New Roman" w:hAnsi="Times New Roman"/>
          <w:color w:val="000000"/>
          <w:sz w:val="24"/>
        </w:rPr>
        <w:t>In the grand orchestra of society, government serves as the conductor, orchestrating the harmonious interplay of diverse perspectives and aspirations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melodies and rhythms, crafted through the intricate workings of institutions, policies, and laws, shape the symphony of our collective existence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citizens, we are both conductors and instrumentalists within this intricate symphony, contributing our unique voices to create a harmonious society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exist to fulfill various essential functions that benefit all members, fostering their well-being and prosperity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functions, like the distinct sections of a symphony, each play a vital role in maintaining societal balance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provide essential services, such as infrastructure, education, and healthcare, nurturing the foundation for human flourishing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effective governance lies the active participation of citizens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the symphony thrives on the contributions of each instrument, governments flourish when citizens engage in the decision-making process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FE23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FE23FA">
        <w:rPr>
          <w:rFonts w:ascii="Times New Roman" w:hAnsi="Times New Roman"/>
          <w:color w:val="000000"/>
          <w:sz w:val="24"/>
        </w:rPr>
        <w:t>.</w:t>
      </w:r>
    </w:p>
    <w:p w:rsidR="00623EAC" w:rsidRDefault="00FF1E6A">
      <w:r>
        <w:rPr>
          <w:rFonts w:ascii="Times New Roman" w:hAnsi="Times New Roman"/>
          <w:color w:val="000000"/>
          <w:sz w:val="28"/>
        </w:rPr>
        <w:t>Summary</w:t>
      </w:r>
    </w:p>
    <w:p w:rsidR="00623EAC" w:rsidRDefault="00FF1E6A">
      <w:r>
        <w:rPr>
          <w:rFonts w:ascii="Times New Roman" w:hAnsi="Times New Roman"/>
          <w:color w:val="000000"/>
        </w:rPr>
        <w:t>In conclusion, governments are the conductors of the symphony of society, orchestrating the harmonious interplay of diverse perspectives and aspirations</w:t>
      </w:r>
      <w:r w:rsidR="00FE23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provide essential services, establish laws, and represent citizens in international relations, fulfilling functions that benefit all members</w:t>
      </w:r>
      <w:r w:rsidR="00FE23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active participation of citizens is vital for effective governance, ensuring that the symphony of society reflects the will and aspirations of the people it serves</w:t>
      </w:r>
      <w:r w:rsidR="00FE23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citizens, we have a responsibility to engage in the decision-making process and contribute our unique voices to </w:t>
      </w:r>
      <w:r>
        <w:rPr>
          <w:rFonts w:ascii="Times New Roman" w:hAnsi="Times New Roman"/>
          <w:color w:val="000000"/>
        </w:rPr>
        <w:lastRenderedPageBreak/>
        <w:t>create a harmonious society where the symphony of government plays in perfect harmony with the needs of its people</w:t>
      </w:r>
      <w:r w:rsidR="00FE23FA">
        <w:rPr>
          <w:rFonts w:ascii="Times New Roman" w:hAnsi="Times New Roman"/>
          <w:color w:val="000000"/>
        </w:rPr>
        <w:t>.</w:t>
      </w:r>
    </w:p>
    <w:p w:rsidR="00623EAC" w:rsidRDefault="00623EAC"/>
    <w:sectPr w:rsidR="00623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92821">
    <w:abstractNumId w:val="8"/>
  </w:num>
  <w:num w:numId="2" w16cid:durableId="454830035">
    <w:abstractNumId w:val="6"/>
  </w:num>
  <w:num w:numId="3" w16cid:durableId="1702054247">
    <w:abstractNumId w:val="5"/>
  </w:num>
  <w:num w:numId="4" w16cid:durableId="1394350880">
    <w:abstractNumId w:val="4"/>
  </w:num>
  <w:num w:numId="5" w16cid:durableId="1088234616">
    <w:abstractNumId w:val="7"/>
  </w:num>
  <w:num w:numId="6" w16cid:durableId="830220978">
    <w:abstractNumId w:val="3"/>
  </w:num>
  <w:num w:numId="7" w16cid:durableId="729308569">
    <w:abstractNumId w:val="2"/>
  </w:num>
  <w:num w:numId="8" w16cid:durableId="965819288">
    <w:abstractNumId w:val="1"/>
  </w:num>
  <w:num w:numId="9" w16cid:durableId="13025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EAC"/>
    <w:rsid w:val="00AA1D8D"/>
    <w:rsid w:val="00B47730"/>
    <w:rsid w:val="00CB0664"/>
    <w:rsid w:val="00FC693F"/>
    <w:rsid w:val="00FE23FA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