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B0C" w:rsidRDefault="00F66928">
      <w:pPr>
        <w:jc w:val="center"/>
      </w:pPr>
      <w:r>
        <w:rPr>
          <w:rFonts w:ascii="Times New Roman" w:hAnsi="Times New Roman"/>
          <w:color w:val="000000"/>
          <w:sz w:val="44"/>
        </w:rPr>
        <w:t>The Art of Governance: Navigating the Labyrinth of Public Administration</w:t>
      </w:r>
    </w:p>
    <w:p w:rsidR="00911B0C" w:rsidRDefault="00F6692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Ms</w:t>
      </w:r>
      <w:r w:rsidR="00EF0D5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Jane Carter</w:t>
      </w:r>
    </w:p>
    <w:p w:rsidR="00911B0C" w:rsidRDefault="00F66928">
      <w:pPr>
        <w:jc w:val="center"/>
      </w:pPr>
      <w:r>
        <w:rPr>
          <w:rFonts w:ascii="Times New Roman" w:hAnsi="Times New Roman"/>
          <w:color w:val="000000"/>
          <w:sz w:val="32"/>
        </w:rPr>
        <w:t>janecarter@educationalhub</w:t>
      </w:r>
      <w:r w:rsidR="00EF0D5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ac</w:t>
      </w:r>
      <w:r w:rsidR="00EF0D5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11B0C" w:rsidRDefault="00911B0C"/>
    <w:p w:rsidR="00911B0C" w:rsidRDefault="00F66928">
      <w:r>
        <w:rPr>
          <w:rFonts w:ascii="Times New Roman" w:hAnsi="Times New Roman"/>
          <w:color w:val="000000"/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EF0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EF0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discourse, we shall delve into the complexities of governance, unveiling the profound impact it has on our collective existence</w:t>
      </w:r>
      <w:r w:rsidR="00EF0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conductor orchestrating a symphony, governance harmonizes the diverse elements of society, ensuring their seamless collaboration towards shared objectives</w:t>
      </w:r>
      <w:r w:rsidR="00EF0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EF0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EF0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Governance, however, is not a monolithic entity; it manifests itself in myriad forms across different societies</w:t>
      </w:r>
      <w:r w:rsidR="00EF0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EF0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model bears its own strengths and challenges, reflecting the unique cultural, historical, and socio-economic contexts in which it operates</w:t>
      </w:r>
      <w:r w:rsidR="00EF0D55">
        <w:rPr>
          <w:rFonts w:ascii="Times New Roman" w:hAnsi="Times New Roman"/>
          <w:color w:val="000000"/>
          <w:sz w:val="24"/>
        </w:rPr>
        <w:t>.</w:t>
      </w:r>
    </w:p>
    <w:p w:rsidR="00911B0C" w:rsidRDefault="00F66928">
      <w:r>
        <w:rPr>
          <w:rFonts w:ascii="Times New Roman" w:hAnsi="Times New Roman"/>
          <w:color w:val="000000"/>
          <w:sz w:val="28"/>
        </w:rPr>
        <w:t>Summary</w:t>
      </w:r>
    </w:p>
    <w:p w:rsidR="00911B0C" w:rsidRDefault="00F66928">
      <w:r>
        <w:rPr>
          <w:rFonts w:ascii="Times New Roman" w:hAnsi="Times New Roman"/>
          <w:color w:val="000000"/>
        </w:rPr>
        <w:t>In conclusion, governance stands as the cornerstone of human civilization, providing the framework for peaceful coexistence and collective progress</w:t>
      </w:r>
      <w:r w:rsidR="00EF0D5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intricate mechanisms, like the gears of a finely tuned machine, orchestrate the complex interactions within society, ensuring order, stability, and the pursuit of common goals</w:t>
      </w:r>
      <w:r w:rsidR="00EF0D5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examination of governance, we gain a deeper appreciation for the challenges and opportunities inherent in the art of public administration</w:t>
      </w:r>
      <w:r w:rsidR="00EF0D5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citizens, it is our responsibility to actively participate in shaping our governance systems, holding our leaders accountable and working together to build a just, equitable, and sustainable society for generations to come</w:t>
      </w:r>
      <w:r w:rsidR="00EF0D55">
        <w:rPr>
          <w:rFonts w:ascii="Times New Roman" w:hAnsi="Times New Roman"/>
          <w:color w:val="000000"/>
        </w:rPr>
        <w:t>.</w:t>
      </w:r>
    </w:p>
    <w:p w:rsidR="00911B0C" w:rsidRDefault="00911B0C"/>
    <w:sectPr w:rsidR="00911B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397709">
    <w:abstractNumId w:val="8"/>
  </w:num>
  <w:num w:numId="2" w16cid:durableId="1881043952">
    <w:abstractNumId w:val="6"/>
  </w:num>
  <w:num w:numId="3" w16cid:durableId="1074815136">
    <w:abstractNumId w:val="5"/>
  </w:num>
  <w:num w:numId="4" w16cid:durableId="1095174537">
    <w:abstractNumId w:val="4"/>
  </w:num>
  <w:num w:numId="5" w16cid:durableId="1297221716">
    <w:abstractNumId w:val="7"/>
  </w:num>
  <w:num w:numId="6" w16cid:durableId="280305367">
    <w:abstractNumId w:val="3"/>
  </w:num>
  <w:num w:numId="7" w16cid:durableId="1028606361">
    <w:abstractNumId w:val="2"/>
  </w:num>
  <w:num w:numId="8" w16cid:durableId="104471313">
    <w:abstractNumId w:val="1"/>
  </w:num>
  <w:num w:numId="9" w16cid:durableId="11139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1B0C"/>
    <w:rsid w:val="00AA1D8D"/>
    <w:rsid w:val="00B47730"/>
    <w:rsid w:val="00CB0664"/>
    <w:rsid w:val="00EF0D55"/>
    <w:rsid w:val="00F669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