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line="360" w:lineRule="auto"/>
        <w:jc w:val="center"/>
        <w:rPr>
          <w:rFonts w:ascii="Figtree" w:cs="Figtree" w:eastAsia="Figtree" w:hAnsi="Figtree"/>
          <w:b w:val="1"/>
          <w:bCs w:val="1"/>
        </w:rPr>
      </w:pPr>
      <w:bookmarkStart w:colFirst="0" w:colLast="0" w:name="_ovk8cthypma2" w:id="0"/>
      <w:bookmarkEnd w:id="0"/>
      <w:r w:rsidDel="00000000" w:rsidR="00000000" w:rsidRPr="00000000">
        <w:rPr>
          <w:rFonts w:ascii="Figtree" w:cs="Figtree" w:eastAsia="Figtree" w:hAnsi="Figtree"/>
          <w:b w:val="1"/>
          <w:bCs w:val="1"/>
          <w:rtl w:val="0"/>
        </w:rPr>
        <w:t xml:space="preserve">Bank Customer Churn Dataset</w:t>
      </w:r>
    </w:p>
    <w:p w:rsidR="00000000" w:rsidDel="00000000" w:rsidP="00000000" w:rsidRDefault="00000000" w:rsidRPr="00000000" w14:paraId="00000002">
      <w:pPr>
        <w:spacing w:after="200" w:line="360" w:lineRule="auto"/>
        <w:rPr>
          <w:rFonts w:ascii="Figtree" w:cs="Figtree" w:eastAsia="Figtree" w:hAnsi="Figtree"/>
          <w:b w:val="1"/>
          <w:bCs w:val="1"/>
          <w:sz w:val="32"/>
          <w:szCs w:val="32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sz w:val="32"/>
          <w:szCs w:val="32"/>
          <w:rtl w:val="0"/>
        </w:rPr>
        <w:t xml:space="preserve">Key Questions: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276" w:lineRule="auto"/>
        <w:rPr>
          <w:rFonts w:ascii="Figtree" w:cs="Figtree" w:eastAsia="Figtree" w:hAnsi="Figtree"/>
          <w:b w:val="1"/>
          <w:bCs w:val="1"/>
          <w:color w:val="000000"/>
          <w:sz w:val="24"/>
          <w:szCs w:val="24"/>
        </w:rPr>
      </w:pPr>
      <w:bookmarkStart w:colFirst="0" w:colLast="0" w:name="_mlmcy2lflq5e" w:id="1"/>
      <w:bookmarkEnd w:id="1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sz w:val="24"/>
          <w:szCs w:val="24"/>
          <w:rtl w:val="0"/>
        </w:rPr>
        <w:t xml:space="preserve">1. Who are our most at-risk customers for churn?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240" w:line="276" w:lineRule="auto"/>
        <w:ind w:left="720" w:hanging="360"/>
        <w:rPr>
          <w:rFonts w:ascii="Figtree SemiBold" w:cs="Figtree SemiBold" w:eastAsia="Figtree SemiBold" w:hAnsi="Figtree SemiBold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Breakdown churn rates by age, tenure, credit score, geography, and active membership.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>
          <w:rFonts w:ascii="Figtree" w:cs="Figtree" w:eastAsia="Figtree" w:hAnsi="Figtree"/>
          <w:b w:val="1"/>
          <w:bCs w:val="1"/>
          <w:color w:val="000000"/>
          <w:sz w:val="24"/>
          <w:szCs w:val="24"/>
        </w:rPr>
      </w:pPr>
      <w:bookmarkStart w:colFirst="0" w:colLast="0" w:name="_bczpirj0q8ac" w:id="2"/>
      <w:bookmarkEnd w:id="2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sz w:val="24"/>
          <w:szCs w:val="24"/>
          <w:rtl w:val="0"/>
        </w:rPr>
        <w:t xml:space="preserve">2. What customer characteristics are most associated with churn?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240" w:line="276" w:lineRule="auto"/>
        <w:ind w:left="720" w:hanging="360"/>
        <w:rPr>
          <w:rFonts w:ascii="Figtree SemiBold" w:cs="Figtree SemiBold" w:eastAsia="Figtree SemiBold" w:hAnsi="Figtree SemiBold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Compare churners vs. non-churners on balance, products used, credit score, active membership, and salary.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276" w:lineRule="auto"/>
        <w:rPr>
          <w:rFonts w:ascii="Figtree" w:cs="Figtree" w:eastAsia="Figtree" w:hAnsi="Figtree"/>
          <w:color w:val="000000"/>
          <w:sz w:val="26"/>
          <w:szCs w:val="26"/>
        </w:rPr>
      </w:pPr>
      <w:bookmarkStart w:colFirst="0" w:colLast="0" w:name="_x2jzpva5ps5r" w:id="3"/>
      <w:bookmarkEnd w:id="3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sz w:val="24"/>
          <w:szCs w:val="24"/>
          <w:rtl w:val="0"/>
        </w:rPr>
        <w:t xml:space="preserve">3. Are there differences in churn across geographies (France, Spain, Germany)?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240" w:line="276" w:lineRule="auto"/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Compare churn rates, product usage, and balances across countries.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="276" w:lineRule="auto"/>
        <w:rPr>
          <w:rFonts w:ascii="Figtree" w:cs="Figtree" w:eastAsia="Figtree" w:hAnsi="Figtree"/>
          <w:color w:val="000000"/>
          <w:sz w:val="26"/>
          <w:szCs w:val="26"/>
        </w:rPr>
      </w:pPr>
      <w:bookmarkStart w:colFirst="0" w:colLast="0" w:name="_x7ya2io4tuha" w:id="4"/>
      <w:bookmarkEnd w:id="4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sz w:val="24"/>
          <w:szCs w:val="24"/>
          <w:rtl w:val="0"/>
        </w:rPr>
        <w:t xml:space="preserve">4. How does product usage (NumOfProducts, HasCrCard) affect retention?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="276" w:lineRule="auto"/>
        <w:ind w:left="720" w:hanging="360"/>
        <w:rPr>
          <w:rFonts w:ascii="Figtree SemiBold" w:cs="Figtree SemiBold" w:eastAsia="Figtree SemiBold" w:hAnsi="Figtree SemiBold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Do customers who purchase 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multiple products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 tend to stay longer?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="276" w:lineRule="auto"/>
        <w:ind w:left="720" w:hanging="360"/>
        <w:rPr>
          <w:rFonts w:ascii="Figtree SemiBold" w:cs="Figtree SemiBold" w:eastAsia="Figtree SemiBold" w:hAnsi="Figtree SemiBold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Does having a 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credit card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 reduce the likelihood of churn?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>
          <w:rFonts w:ascii="Figtree" w:cs="Figtree" w:eastAsia="Figtree" w:hAnsi="Figtree"/>
          <w:b w:val="1"/>
          <w:bCs w:val="1"/>
          <w:color w:val="000000"/>
          <w:sz w:val="24"/>
          <w:szCs w:val="24"/>
        </w:rPr>
      </w:pPr>
      <w:bookmarkStart w:colFirst="0" w:colLast="0" w:name="_qggwl8nr6xvl" w:id="5"/>
      <w:bookmarkEnd w:id="5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sz w:val="24"/>
          <w:szCs w:val="24"/>
          <w:rtl w:val="0"/>
        </w:rPr>
        <w:t xml:space="preserve">5. Which customer segments contribute the most to revenue risk if they churn?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240" w:line="276" w:lineRule="auto"/>
        <w:ind w:left="720" w:hanging="360"/>
        <w:rPr>
          <w:rFonts w:ascii="Figtree SemiBold" w:cs="Figtree SemiBold" w:eastAsia="Figtree SemiBold" w:hAnsi="Figtree SemiBold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Estimate 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lost balance or salary base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 from churners by customer segment.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>
          <w:rFonts w:ascii="Figtree" w:cs="Figtree" w:eastAsia="Figtree" w:hAnsi="Figtree"/>
          <w:b w:val="1"/>
          <w:bCs w:val="1"/>
          <w:color w:val="000000"/>
          <w:sz w:val="24"/>
          <w:szCs w:val="24"/>
        </w:rPr>
      </w:pPr>
      <w:bookmarkStart w:colFirst="0" w:colLast="0" w:name="_47isn8tjvixq" w:id="6"/>
      <w:bookmarkEnd w:id="6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sz w:val="24"/>
          <w:szCs w:val="24"/>
          <w:rtl w:val="0"/>
        </w:rPr>
        <w:t xml:space="preserve">6. How does customer tenure impact churn likelihood?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240" w:line="276" w:lineRule="auto"/>
        <w:ind w:left="720" w:hanging="360"/>
        <w:rPr>
          <w:rFonts w:ascii="Figtree SemiBold" w:cs="Figtree SemiBold" w:eastAsia="Figtree SemiBold" w:hAnsi="Figtree SemiBold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Analyze churn by 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years with the bank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>
          <w:rFonts w:ascii="Figtree" w:cs="Figtree" w:eastAsia="Figtree" w:hAnsi="Figtree"/>
          <w:b w:val="1"/>
          <w:bCs w:val="1"/>
          <w:color w:val="000000"/>
          <w:sz w:val="24"/>
          <w:szCs w:val="24"/>
        </w:rPr>
      </w:pPr>
      <w:bookmarkStart w:colFirst="0" w:colLast="0" w:name="_3whjnies69sh" w:id="7"/>
      <w:bookmarkEnd w:id="7"/>
      <w:r w:rsidDel="00000000" w:rsidR="00000000" w:rsidRPr="00000000">
        <w:rPr>
          <w:rFonts w:ascii="Figtree" w:cs="Figtree" w:eastAsia="Figtree" w:hAnsi="Figtree"/>
          <w:b w:val="1"/>
          <w:bCs w:val="1"/>
          <w:color w:val="000000"/>
          <w:sz w:val="24"/>
          <w:szCs w:val="24"/>
          <w:rtl w:val="0"/>
        </w:rPr>
        <w:t xml:space="preserve">7. What is the profile of the bank’s most loyal customers?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240" w:line="276" w:lineRule="auto"/>
        <w:ind w:left="720" w:hanging="360"/>
        <w:rPr>
          <w:rFonts w:ascii="Figtree SemiBold" w:cs="Figtree SemiBold" w:eastAsia="Figtree SemiBold" w:hAnsi="Figtree SemiBold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Identify patterns among customers with 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low churn risk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 (e.g., active members, multiple products, certain geographies).</w:t>
      </w:r>
    </w:p>
    <w:p w:rsidR="00000000" w:rsidDel="00000000" w:rsidP="00000000" w:rsidRDefault="00000000" w:rsidRPr="00000000" w14:paraId="00000012">
      <w:pPr>
        <w:spacing w:after="200" w:line="360" w:lineRule="auto"/>
        <w:rPr>
          <w:rFonts w:ascii="Figtree" w:cs="Figtree" w:eastAsia="Figtree" w:hAnsi="Figt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360" w:lineRule="auto"/>
        <w:rPr>
          <w:rFonts w:ascii="Figtree" w:cs="Figtree" w:eastAsia="Figtree" w:hAnsi="Figtre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gtre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gtree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gtree-regular.ttf"/><Relationship Id="rId2" Type="http://schemas.openxmlformats.org/officeDocument/2006/relationships/font" Target="fonts/Figtree-bold.ttf"/><Relationship Id="rId3" Type="http://schemas.openxmlformats.org/officeDocument/2006/relationships/font" Target="fonts/Figtree-italic.ttf"/><Relationship Id="rId4" Type="http://schemas.openxmlformats.org/officeDocument/2006/relationships/font" Target="fonts/Figtree-boldItalic.ttf"/><Relationship Id="rId5" Type="http://schemas.openxmlformats.org/officeDocument/2006/relationships/font" Target="fonts/FigtreeSemiBold-regular.ttf"/><Relationship Id="rId6" Type="http://schemas.openxmlformats.org/officeDocument/2006/relationships/font" Target="fonts/FigtreeSemiBold-bold.ttf"/><Relationship Id="rId7" Type="http://schemas.openxmlformats.org/officeDocument/2006/relationships/font" Target="fonts/FigtreeSemiBold-italic.ttf"/><Relationship Id="rId8" Type="http://schemas.openxmlformats.org/officeDocument/2006/relationships/font" Target="fonts/Figtree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