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E74B5"/>
          <w:sz w:val="20"/>
        </w:rPr>
        <w:t>ONX SYSTEMS</w:t>
      </w:r>
    </w:p>
    <w:p>
      <w:pPr>
        <w:jc w:val="center"/>
      </w:pPr>
      <w:r>
        <w:rPr>
          <w:rFonts w:ascii="Calibri" w:hAnsi="Calibri"/>
          <w:b/>
          <w:color w:val="141414"/>
          <w:sz w:val="44"/>
        </w:rPr>
        <w:t>Master Execution Pipeline</w:t>
      </w:r>
    </w:p>
    <w:p>
      <w:pPr>
        <w:jc w:val="center"/>
      </w:pPr>
      <w:r>
        <w:rPr>
          <w:rFonts w:ascii="Calibri" w:hAnsi="Calibri"/>
          <w:b w:val="0"/>
          <w:color w:val="5A5A5A"/>
          <w:sz w:val="24"/>
        </w:rPr>
        <w:t>Unified EP-01 through EP-05 sequencing, gates, density, and continuity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Document ID</w:t>
            </w:r>
          </w:p>
        </w:tc>
        <w:tc>
          <w:tcPr>
            <w:tcW w:type="dxa" w:w="1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Version</w:t>
            </w:r>
          </w:p>
        </w:tc>
        <w:tc>
          <w:tcPr>
            <w:tcW w:type="dxa" w:w="24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Classification</w:t>
            </w:r>
          </w:p>
        </w:tc>
        <w:tc>
          <w:tcPr>
            <w:tcW w:type="dxa" w:w="34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Status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ONX-EXECUTION-PIPELINE-2026-001</w:t>
            </w:r>
          </w:p>
        </w:tc>
        <w:tc>
          <w:tcPr>
            <w:tcW w:type="dxa" w:w="1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1.0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ACTIVE</w:t>
            </w:r>
          </w:p>
        </w:tc>
        <w:tc>
          <w:tcPr>
            <w:tcW w:type="dxa" w:w="3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ACTIVE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4: Master Execution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EP</w:t>
            </w:r>
          </w:p>
        </w:tc>
        <w:tc>
          <w:tcPr>
            <w:tcW w:type="dxa" w:w="2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Status</w:t>
            </w:r>
          </w:p>
        </w:tc>
        <w:tc>
          <w:tcPr>
            <w:tcW w:type="dxa" w:w="43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Primary Outcome</w:t>
            </w:r>
          </w:p>
        </w:tc>
        <w:tc>
          <w:tcPr>
            <w:tcW w:type="dxa" w:w="17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Gate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EP-01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ISSUED - ACTIVE</w:t>
            </w:r>
          </w:p>
        </w:tc>
        <w:tc>
          <w:tcPr>
            <w:tcW w:type="dxa" w:w="43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Core Platform Infrastructure</w:t>
            </w:r>
          </w:p>
        </w:tc>
        <w:tc>
          <w:tcPr>
            <w:tcW w:type="dxa" w:w="17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RG-01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EP-02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PRE-ISSUANCE</w:t>
            </w:r>
          </w:p>
        </w:tc>
        <w:tc>
          <w:tcPr>
            <w:tcW w:type="dxa" w:w="43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Runtime &amp; Service Layer</w:t>
            </w:r>
          </w:p>
        </w:tc>
        <w:tc>
          <w:tcPr>
            <w:tcW w:type="dxa" w:w="17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RG-02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EP-03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PRE-ISSUANCE</w:t>
            </w:r>
          </w:p>
        </w:tc>
        <w:tc>
          <w:tcPr>
            <w:tcW w:type="dxa" w:w="43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User Experience &amp; Interface</w:t>
            </w:r>
          </w:p>
        </w:tc>
        <w:tc>
          <w:tcPr>
            <w:tcW w:type="dxa" w:w="17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RG-03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EP-04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PRE-ISSUANCE</w:t>
            </w:r>
          </w:p>
        </w:tc>
        <w:tc>
          <w:tcPr>
            <w:tcW w:type="dxa" w:w="43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Operations &amp; Deployment</w:t>
            </w:r>
          </w:p>
        </w:tc>
        <w:tc>
          <w:tcPr>
            <w:tcW w:type="dxa" w:w="17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RG-04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EP-05</w:t>
            </w:r>
          </w:p>
        </w:tc>
        <w:tc>
          <w:tcPr>
            <w:tcW w:type="dxa" w:w="21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PRE-ISSUANCE</w:t>
            </w:r>
          </w:p>
        </w:tc>
        <w:tc>
          <w:tcPr>
            <w:tcW w:type="dxa" w:w="43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Intelligence &amp; Automation</w:t>
            </w:r>
          </w:p>
        </w:tc>
        <w:tc>
          <w:tcPr>
            <w:tcW w:type="dxa" w:w="17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RG-05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Milestone Band</w:t>
            </w:r>
          </w:p>
        </w:tc>
        <w:tc>
          <w:tcPr>
            <w:tcW w:type="dxa" w:w="19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Range</w:t>
            </w:r>
          </w:p>
        </w:tc>
        <w:tc>
          <w:tcPr>
            <w:tcW w:type="dxa" w:w="55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Description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EP-01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M-E01 to M-E08</w:t>
            </w:r>
          </w:p>
        </w:tc>
        <w:tc>
          <w:tcPr>
            <w:tcW w:type="dxa" w:w="55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Foundation and EP-02 readiness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EP-02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M-E09 to M-E15</w:t>
            </w:r>
          </w:p>
        </w:tc>
        <w:tc>
          <w:tcPr>
            <w:tcW w:type="dxa" w:w="55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Services and EP-03 readiness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EP-03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M-E16 to M-E22</w:t>
            </w:r>
          </w:p>
        </w:tc>
        <w:tc>
          <w:tcPr>
            <w:tcW w:type="dxa" w:w="55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Experience layer and EP-04 readiness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EP-04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M-E23 to M-E29</w:t>
            </w:r>
          </w:p>
        </w:tc>
        <w:tc>
          <w:tcPr>
            <w:tcW w:type="dxa" w:w="55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Operations and EP-05 readiness</w:t>
            </w:r>
          </w:p>
        </w:tc>
      </w:tr>
      <w:t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EP-05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M-E30 to M-E36</w:t>
            </w:r>
          </w:p>
        </w:tc>
        <w:tc>
          <w:tcPr>
            <w:tcW w:type="dxa" w:w="55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Intelligence completion and ATRP close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5: Maximum Throughput Plan - 4 Paths x 5 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EP</w:t>
            </w:r>
          </w:p>
        </w:tc>
        <w:tc>
          <w:tcPr>
            <w:tcW w:type="dxa" w:w="23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Recommended Path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Default Duration</w:t>
            </w:r>
          </w:p>
        </w:tc>
        <w:tc>
          <w:tcPr>
            <w:tcW w:type="dxa" w:w="20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Compressed Duration</w:t>
            </w:r>
          </w:p>
        </w:tc>
        <w:tc>
          <w:tcPr>
            <w:tcW w:type="dxa" w:w="20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Risk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EP-01</w:t>
            </w:r>
          </w:p>
        </w:tc>
        <w:tc>
          <w:tcPr>
            <w:tcW w:type="dxa" w:w="2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Path 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14-20w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10-12w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Medium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EP-02</w:t>
            </w:r>
          </w:p>
        </w:tc>
        <w:tc>
          <w:tcPr>
            <w:tcW w:type="dxa" w:w="2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Path 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10-12w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8-10w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Medium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EP-03</w:t>
            </w:r>
          </w:p>
        </w:tc>
        <w:tc>
          <w:tcPr>
            <w:tcW w:type="dxa" w:w="2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Path 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8-10w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7-8w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Medium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EP-04</w:t>
            </w:r>
          </w:p>
        </w:tc>
        <w:tc>
          <w:tcPr>
            <w:tcW w:type="dxa" w:w="2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Path 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7-9w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5-6w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Medium-high</w:t>
            </w:r>
          </w:p>
        </w:tc>
      </w:tr>
      <w:tr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EP-05</w:t>
            </w:r>
          </w:p>
        </w:tc>
        <w:tc>
          <w:tcPr>
            <w:tcW w:type="dxa" w:w="23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Path 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6-7w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4-5w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Medium-high</w:t>
            </w:r>
          </w:p>
        </w:tc>
      </w:tr>
    </w:tbl>
    <w:p/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Recommended pipeline: 41-50 weeks with parallel paths.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Maximum compression: 33-40 weeks with all compression opportunities approved.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Compression requires explicit Founder authorization when quality gates are at risk.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6: Unified Delivery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Release Gate</w:t>
            </w:r>
          </w:p>
        </w:tc>
        <w:tc>
          <w:tcPr>
            <w:tcW w:type="dxa" w:w="26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Entry</w:t>
            </w:r>
          </w:p>
        </w:tc>
        <w:tc>
          <w:tcPr>
            <w:tcW w:type="dxa" w:w="26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Exit</w:t>
            </w:r>
          </w:p>
        </w:tc>
        <w:tc>
          <w:tcPr>
            <w:tcW w:type="dxa" w:w="24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Evidence Gate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RG-01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EP-01 issued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EP-02 ready</w:t>
            </w:r>
          </w:p>
        </w:tc>
        <w:tc>
          <w:tcPr>
            <w:tcW w:type="dxa" w:w="2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EV-GATE-01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RG-02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EP-02 issued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EP-03 ready</w:t>
            </w:r>
          </w:p>
        </w:tc>
        <w:tc>
          <w:tcPr>
            <w:tcW w:type="dxa" w:w="2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EV-GATE-02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RG-03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EP-03 issued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EP-04 ready</w:t>
            </w:r>
          </w:p>
        </w:tc>
        <w:tc>
          <w:tcPr>
            <w:tcW w:type="dxa" w:w="2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EV-GATE-03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RG-04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EP-04 issued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EP-05 ready</w:t>
            </w:r>
          </w:p>
        </w:tc>
        <w:tc>
          <w:tcPr>
            <w:tcW w:type="dxa" w:w="2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EV-GATE-04</w:t>
            </w:r>
          </w:p>
        </w:tc>
      </w:tr>
      <w:tr>
        <w:tc>
          <w:tcPr>
            <w:tcW w:type="dxa" w:w="17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RG-05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EP-05 issued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ATRP close ready</w:t>
            </w:r>
          </w:p>
        </w:tc>
        <w:tc>
          <w:tcPr>
            <w:tcW w:type="dxa" w:w="24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EV-GATE-05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7: Execution Density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Compression</w:t>
            </w:r>
          </w:p>
        </w:tc>
        <w:tc>
          <w:tcPr>
            <w:tcW w:type="dxa" w:w="14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Savings</w:t>
            </w:r>
          </w:p>
        </w:tc>
        <w:tc>
          <w:tcPr>
            <w:tcW w:type="dxa" w:w="64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Condition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C-01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2w</w:t>
            </w:r>
          </w:p>
        </w:tc>
        <w:tc>
          <w:tcPr>
            <w:tcW w:type="dxa" w:w="64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EP-02 data/endpoints parallelized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C-02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3w</w:t>
            </w:r>
          </w:p>
        </w:tc>
        <w:tc>
          <w:tcPr>
            <w:tcW w:type="dxa" w:w="64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EP-03 component library starts early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C-03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2w</w:t>
            </w:r>
          </w:p>
        </w:tc>
        <w:tc>
          <w:tcPr>
            <w:tcW w:type="dxa" w:w="64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EP-04 IaC prepared during EP-03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C-04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4w</w:t>
            </w:r>
          </w:p>
        </w:tc>
        <w:tc>
          <w:tcPr>
            <w:tcW w:type="dxa" w:w="64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EP-05 analytics data contracts prepared early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C-05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3w</w:t>
            </w:r>
          </w:p>
        </w:tc>
        <w:tc>
          <w:tcPr>
            <w:tcW w:type="dxa" w:w="64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Testing tracks run continuously</w:t>
            </w:r>
          </w:p>
        </w:tc>
      </w:tr>
      <w:tr>
        <w:tc>
          <w:tcPr>
            <w:tcW w:type="dxa" w:w="15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C-06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3w</w:t>
            </w:r>
          </w:p>
        </w:tc>
        <w:tc>
          <w:tcPr>
            <w:tcW w:type="dxa" w:w="64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Documentation drafted during implementation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Bottleneck</w:t>
            </w:r>
          </w:p>
        </w:tc>
        <w:tc>
          <w:tcPr>
            <w:tcW w:type="dxa" w:w="67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Mitigation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Architecture churn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CCR freeze and ADR gate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API instability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Contract tests before frontend work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Evidence lag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Daily evidence registry updates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Security review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Threat model early in each EP</w:t>
            </w:r>
          </w:p>
        </w:tc>
      </w:tr>
      <w:tr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Operational readiness</w:t>
            </w:r>
          </w:p>
        </w:tc>
        <w:tc>
          <w:tcPr>
            <w:tcW w:type="dxa" w:w="67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Runbooks drafted before final WP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Deliverable 8: Husam Continuity Plan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Never blocked by planning: downstream packages exist before prior EP completion.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Never blocked by sequencing: critical paths are embedded.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Never blocked by evidence format: registry templates are predefined.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Never blocked by transition ambiguity: handoff maps are explicit.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Never blocked by package creation: issuance derives from pre-issuance package.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Never blocked by authority confusion: CCR protocol governs deviations.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Never blocked by path choice: four execution paths are available.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Never blocked by downstream unknowns: EP-02 through EP-05 are staged.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Final Certification</w:t>
      </w:r>
    </w:p>
    <w:p>
      <w:r>
        <w:rPr>
          <w:rFonts w:ascii="Calibri" w:hAnsi="Calibri"/>
          <w:b w:val="0"/>
          <w:color w:val="141414"/>
          <w:sz w:val="22"/>
        </w:rPr>
        <w:t>Atlas V5.0 remains frozen. EP-01 is issued and active. EP-02 through EP-05 are pre-issuance ready. The execution preparation layer is ahead of the execution layer.</w:t>
      </w:r>
    </w:p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Appendix A: Document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Version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Date</w:t>
            </w:r>
          </w:p>
        </w:tc>
        <w:tc>
          <w:tcPr>
            <w:tcW w:type="dxa" w:w="61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41414"/>
                <w:sz w:val="20"/>
              </w:rPr>
              <w:t>Change</w:t>
            </w:r>
          </w:p>
        </w:tc>
      </w:tr>
      <w:tr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1.0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2026-06-20</w:t>
            </w:r>
          </w:p>
        </w:tc>
        <w:tc>
          <w:tcPr>
            <w:tcW w:type="dxa" w:w="616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41414"/>
                <w:sz w:val="19"/>
              </w:rPr>
              <w:t>Initial unified master pipeline</w:t>
            </w:r>
          </w:p>
        </w:tc>
      </w:tr>
    </w:tbl>
    <w:p/>
    <w:p>
      <w:pPr>
        <w:pStyle w:val="Heading1"/>
      </w:pPr>
      <w:r>
        <w:rPr>
          <w:rFonts w:ascii="Calibri" w:hAnsi="Calibri"/>
          <w:b w:val="0"/>
          <w:color w:val="141414"/>
          <w:sz w:val="22"/>
        </w:rPr>
        <w:t>Appendix B: Pipeline Glossary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RG: Release Gate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EV-GATE: Evidence Gate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Compression: approved schedule reduction</w:t>
      </w:r>
    </w:p>
    <w:p>
      <w:pPr>
        <w:pStyle w:val="ListBullet"/>
      </w:pPr>
      <w:r>
        <w:rPr>
          <w:rFonts w:ascii="Calibri" w:hAnsi="Calibri"/>
          <w:b w:val="0"/>
          <w:color w:val="141414"/>
          <w:sz w:val="22"/>
        </w:rPr>
        <w:t>Continuity: guarantee that Husam has next executable instructions available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