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FA" w:rsidRPr="00634854" w:rsidRDefault="00615CFA" w:rsidP="00634854">
      <w:pPr>
        <w:pStyle w:val="Heading1"/>
        <w:ind w:left="0" w:firstLine="0"/>
        <w:rPr>
          <w:rStyle w:val="SubtleEmphasis"/>
        </w:rPr>
      </w:pPr>
      <w:bookmarkStart w:id="0" w:name="OLE_LINK3"/>
      <w:bookmarkStart w:id="1" w:name="OLE_LINK4"/>
      <w:r w:rsidRPr="00634854">
        <w:rPr>
          <w:rStyle w:val="SubtleEmphasis"/>
        </w:rPr>
        <w:t>Andrew Lytle at The Sewanee Review</w:t>
      </w:r>
    </w:p>
    <w:p w:rsidR="00615CFA" w:rsidRDefault="00634854" w:rsidP="009678A6">
      <w:pPr>
        <w:spacing w:line="480" w:lineRule="auto"/>
        <w:ind w:firstLine="720"/>
      </w:pPr>
      <w:r>
        <w:t>Atop Monteagle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DA402A">
        <w:rPr>
          <w:i/>
        </w:rPr>
        <w:t>Sewanee Review</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DA402A">
        <w:rPr>
          <w:i/>
        </w:rPr>
        <w:t>Sewanee Review</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DA402A">
        <w:rPr>
          <w:i/>
        </w:rPr>
        <w:t>Sewanee Review</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collaborating under the banner of </w:t>
      </w:r>
      <w:r w:rsidR="00B64440">
        <w:t>Southern</w:t>
      </w:r>
      <w:r>
        <w:t xml:space="preserve"> idealism.  </w:t>
      </w:r>
      <w:bookmarkStart w:id="2" w:name="_GoBack"/>
      <w:bookmarkEnd w:id="2"/>
      <w:r>
        <w:t xml:space="preserve">He left Vanderbilt in 1927 after studying literature and history to attend the Yale School of Drama.  Lytle’s interests remained primarily </w:t>
      </w:r>
      <w:r w:rsidR="00B64440">
        <w:lastRenderedPageBreak/>
        <w:t>Southern</w:t>
      </w:r>
      <w:r>
        <w:t>, however, and in 1930 he contributed his fir</w:t>
      </w:r>
      <w:r w:rsidR="00031777">
        <w:t xml:space="preserve">st major essay </w:t>
      </w:r>
      <w:r>
        <w:t xml:space="preserve">to the Agrarian symposium </w:t>
      </w:r>
      <w:r>
        <w:rPr>
          <w:i/>
        </w:rPr>
        <w:t>I’ll Take My Stand</w:t>
      </w:r>
      <w:r>
        <w:t xml:space="preserve">, which also included pieces written by </w:t>
      </w:r>
      <w:r w:rsidR="00AA4D4D">
        <w:t>Alan</w:t>
      </w:r>
      <w:r>
        <w:t xml:space="preserve">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3" w:name="OLE_LINK1"/>
      <w:bookmarkStart w:id="4" w:name="OLE_LINK2"/>
      <w:r>
        <w:t xml:space="preserve"> Mark Lucas argues in </w:t>
      </w:r>
      <w:r>
        <w:rPr>
          <w:i/>
        </w:rPr>
        <w:t xml:space="preserve">The </w:t>
      </w:r>
      <w:r w:rsidR="00B64440">
        <w:rPr>
          <w:i/>
        </w:rPr>
        <w:t>Southern</w:t>
      </w:r>
      <w:r>
        <w:rPr>
          <w:i/>
        </w:rPr>
        <w:t xml:space="preserve"> Vision of Andrew Lytle</w:t>
      </w:r>
      <w:r>
        <w:t xml:space="preserve">:  “No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 xml:space="preserve">While the piece loosely resembles “Old Scratch in the Valley” in design, it is devoid of any direct political </w:t>
      </w:r>
      <w:r>
        <w:lastRenderedPageBreak/>
        <w:t>attitude, repl</w:t>
      </w:r>
      <w:r w:rsidR="00692D5F">
        <w:t xml:space="preserve">aced by a purely literary one. </w:t>
      </w:r>
      <w:r>
        <w:t xml:space="preserve">As Lucas notes, “ ‘Jericho, Jericho, Jericho,’ skillfully 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At The Moon’s Inn</w:t>
      </w:r>
      <w:r>
        <w:t>, in late 1941.  In an effort to support his family, including his first daughter, Pamela, Lytle accepted an invitation to teach at the Sewanee Military Academy later that year</w:t>
      </w:r>
      <w:bookmarkEnd w:id="3"/>
      <w:bookmarkEnd w:id="4"/>
      <w:r>
        <w:t>.</w:t>
      </w:r>
    </w:p>
    <w:p w:rsidR="00615CFA" w:rsidRDefault="00615CFA">
      <w:pPr>
        <w:spacing w:line="480" w:lineRule="auto"/>
        <w:ind w:firstLine="720"/>
      </w:pPr>
      <w:r>
        <w:t>In early 1942, Alexander Guerry,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Guerry complained frequently to Lytle about then editor, W.S. Knickerbocker, hoping the </w:t>
      </w:r>
      <w:r w:rsidR="00DA402A">
        <w:rPr>
          <w:i/>
        </w:rPr>
        <w:t>Sewanee Review</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sidR="00DA402A">
        <w:rPr>
          <w:i/>
        </w:rPr>
        <w:t>Sewanee Review</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edited by the Fugitive-Agrarians Cleanth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w:t>
      </w:r>
      <w:r>
        <w:lastRenderedPageBreak/>
        <w:t>correspondence</w:t>
      </w:r>
      <w:bookmarkStart w:id="5" w:name="OLE_LINK5"/>
      <w:bookmarkStart w:id="6" w:name="OLE_LINK6"/>
      <w:r w:rsidR="008314E0">
        <w:t xml:space="preserve"> between Lytle and </w:t>
      </w:r>
      <w:r w:rsidR="00AA4D4D">
        <w:t>Alan</w:t>
      </w:r>
      <w:r w:rsidR="008314E0">
        <w:t xml:space="preserve"> Tate. </w:t>
      </w:r>
      <w:r>
        <w:t xml:space="preserve">The pair would soon collaborate to manage the </w:t>
      </w:r>
      <w:r w:rsidR="00DA402A">
        <w:rPr>
          <w:i/>
        </w:rPr>
        <w:t>Sewanee Review</w:t>
      </w:r>
      <w:r>
        <w:t xml:space="preserve"> to unparalleled success at a 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sidR="00DA402A">
        <w:rPr>
          <w:i/>
        </w:rPr>
        <w:t>Sewanee Review</w:t>
      </w:r>
      <w:r>
        <w:t xml:space="preserve">. </w:t>
      </w:r>
      <w:r>
        <w:tab/>
      </w:r>
      <w:bookmarkEnd w:id="5"/>
      <w:bookmarkEnd w:id="6"/>
    </w:p>
    <w:p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sidR="00DA402A">
        <w:rPr>
          <w:i/>
        </w:rPr>
        <w:t>Sewanee Review</w:t>
      </w:r>
      <w:r>
        <w:rPr>
          <w:i/>
        </w:rPr>
        <w:t xml:space="preserve"> </w:t>
      </w:r>
      <w:r>
        <w:t xml:space="preserve">into a new era, inciting Tate in a letter on January 30, 1942, to “tell him [Guerry]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Sarcone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sidR="00DA402A">
        <w:rPr>
          <w:i/>
        </w:rPr>
        <w:t>Sewanee Review</w:t>
      </w:r>
      <w:r>
        <w:t xml:space="preserve"> from what Tate would call “a graveyard for second-rate professors” (Young and Sarcone 186) into a leading national literary review.</w:t>
      </w:r>
    </w:p>
    <w:p w:rsidR="00615CFA" w:rsidRDefault="00615CFA">
      <w:pPr>
        <w:spacing w:line="480" w:lineRule="auto"/>
        <w:ind w:firstLine="720"/>
      </w:pPr>
      <w:r>
        <w:t>As early as 1936</w:t>
      </w:r>
      <w:r w:rsidR="009F1C42">
        <w:t>,</w:t>
      </w:r>
      <w:r>
        <w:t xml:space="preserve"> </w:t>
      </w:r>
      <w:r w:rsidR="00AA4D4D">
        <w:t>Alan</w:t>
      </w:r>
      <w:r>
        <w:t xml:space="preserve"> 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did not pay their </w:t>
      </w:r>
      <w:r>
        <w:lastRenderedPageBreak/>
        <w:t xml:space="preserve">contributors, including the </w:t>
      </w:r>
      <w:r w:rsidR="00DA402A">
        <w:rPr>
          <w:i/>
        </w:rPr>
        <w:t>Sewanee Review</w:t>
      </w:r>
      <w:r>
        <w:t>, which led more prominent writ</w:t>
      </w:r>
      <w:r w:rsidR="009F1C42">
        <w:t>ers to more affluent magazines.</w:t>
      </w:r>
      <w:r>
        <w:t xml:space="preserve"> These magazines “can pay better rates for manuscripts than the most 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sidR="00DA402A">
        <w:rPr>
          <w:i/>
        </w:rPr>
        <w:t>Sewanee Review</w:t>
      </w:r>
      <w:r>
        <w:t>.</w:t>
      </w:r>
    </w:p>
    <w:p w:rsidR="00615CFA" w:rsidRDefault="00615CFA">
      <w:pPr>
        <w:pStyle w:val="BodyTextIndent"/>
        <w:spacing w:line="480" w:lineRule="auto"/>
        <w:jc w:val="left"/>
      </w:pPr>
      <w:r>
        <w:t>Tate was also keenly aware of the opportunity Guerry held if he was willing to act.  In a letter to Lytle on February 6, 1942, he notes “If Guerry has any gumption at all, he ought to see that the collapse of the SR [</w:t>
      </w:r>
      <w:r w:rsidR="00B64440">
        <w:t>Southern</w:t>
      </w:r>
      <w:r>
        <w:t xml:space="preserve"> Review]. . . gives him the whole field for the Sewanee Review. A subsidy of about $3,000 to pay contributors would be all that is needed” (Young and Sarcone 183-4). Guerry was also aware that he could hope to establish the </w:t>
      </w:r>
      <w:r w:rsidR="00DA402A">
        <w:rPr>
          <w:i/>
        </w:rPr>
        <w:t>Sewanee Review</w:t>
      </w:r>
      <w:r>
        <w:t xml:space="preserve"> as a real literary quarterly with a wide spread readership, lend</w:t>
      </w:r>
      <w:r w:rsidR="0083353C">
        <w:t xml:space="preserve">ing respect to the University. </w:t>
      </w:r>
      <w:r>
        <w:t xml:space="preserve">Guerry was also in need of a new editor at the </w:t>
      </w:r>
      <w:r w:rsidR="00DA402A">
        <w:rPr>
          <w:i/>
        </w:rPr>
        <w:t>Sewanee Review</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w:t>
      </w:r>
      <w:r>
        <w:lastRenderedPageBreak/>
        <w:t xml:space="preserve">Ransom, the editor of the rising </w:t>
      </w:r>
      <w:r>
        <w:rPr>
          <w:i/>
        </w:rPr>
        <w:t>Kenyon Review</w:t>
      </w:r>
      <w:r>
        <w:t>, Guerry was simply unable to raise the money necessary to pay co</w:t>
      </w:r>
      <w:r w:rsidR="0083353C">
        <w:t xml:space="preserve">ntributors as Tate stipulated. </w:t>
      </w:r>
      <w:r>
        <w:t>Consequently</w:t>
      </w:r>
      <w:r w:rsidR="0083353C">
        <w:t xml:space="preserve">, Tate refused Guerry’s offer. </w:t>
      </w:r>
      <w:r>
        <w:t xml:space="preserve">Guerry’s desire to create a magazine to equal the </w:t>
      </w:r>
      <w:r w:rsidR="00B64440">
        <w:rPr>
          <w:i/>
        </w:rPr>
        <w:t>Southern</w:t>
      </w:r>
      <w:r>
        <w:rPr>
          <w:i/>
        </w:rPr>
        <w:t xml:space="preserve"> Review</w:t>
      </w:r>
      <w:r>
        <w:t xml:space="preserve"> no doubt influenced his decision to solicit Cleanth Brooks. Brooks declined, perhaps fearing that the </w:t>
      </w:r>
      <w:r w:rsidR="00DA402A">
        <w:rPr>
          <w:i/>
        </w:rPr>
        <w:t>Sewanee Review</w:t>
      </w:r>
      <w:r>
        <w:rPr>
          <w:i/>
        </w:rPr>
        <w:t xml:space="preserve"> </w:t>
      </w:r>
      <w:r>
        <w:t>would be subject to the same financial abandonmen</w:t>
      </w:r>
      <w:r w:rsidR="0083353C">
        <w:t xml:space="preserve">t he had endured at LSU. </w:t>
      </w:r>
      <w:r>
        <w:t>With Guerry’s options running low, Lytle, under heavy pressure from Guerry,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 xml:space="preserve">Thus, while Tudor S. Long held the title of acting editor, Lytle fulfilled the role completely, beginning with the fall 1942 issue (Core, Editorial History 5).  Meanwhile, </w:t>
      </w:r>
      <w:r w:rsidR="00AA4D4D">
        <w:t>Alan</w:t>
      </w:r>
      <w:r>
        <w:t xml:space="preserve"> Tate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Sarcone, 196). This tension may have played some role in Tate’s decision to take up a position at the Library of Congress after a year, leaving Lytle to edit on his own.  </w:t>
      </w:r>
    </w:p>
    <w:p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Janssens notes in </w:t>
      </w:r>
      <w:r>
        <w:rPr>
          <w:i/>
        </w:rPr>
        <w:lastRenderedPageBreak/>
        <w:t>The American Literary Review</w:t>
      </w:r>
      <w:r>
        <w:t>, Lytle drew heavily from his (and Tate’s) literary connections to solicit poems by Wallace Stevens, George Marion O’Donnell and William Meredith and essays by Arthur Mizener and</w:t>
      </w:r>
      <w:r w:rsidR="0083353C">
        <w:t xml:space="preserve"> Cleanth Brooks (Janssens 278).</w:t>
      </w:r>
      <w:r>
        <w:t xml:space="preserve"> Despite his thorough account, Janssens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 xml:space="preserve">his magazine” (Janssens, 278). </w:t>
      </w:r>
      <w:r>
        <w:t xml:space="preserve">While there is some truth in this statement, Janssens fails to recognize the further achievements made under Lytle. As Core explains, in the winter 1943 issue Lytle’s most significant change in the </w:t>
      </w:r>
      <w:r w:rsidR="00DA402A">
        <w:rPr>
          <w:i/>
        </w:rPr>
        <w:t>Sewanee Review</w:t>
      </w:r>
      <w:r>
        <w:t>’s contents was revealed</w:t>
      </w:r>
      <w:r w:rsidR="0083353C">
        <w:t xml:space="preserve">: </w:t>
      </w:r>
      <w:r>
        <w:t xml:space="preserve">fiction (Editorial History 7).   </w:t>
      </w:r>
    </w:p>
    <w:p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sidR="00DA402A">
        <w:rPr>
          <w:i/>
        </w:rPr>
        <w:t>Sewanee Review</w:t>
      </w:r>
      <w:r>
        <w:rPr>
          <w:i/>
        </w:rPr>
        <w:t xml:space="preserve">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w:t>
      </w:r>
      <w:r>
        <w:lastRenderedPageBreak/>
        <w:t xml:space="preserve">have decided not to send back ‘The Enchanted Bull’ for revision.  I think it is good enough as it stands” </w:t>
      </w:r>
      <w:r w:rsidR="0083353C">
        <w:t xml:space="preserve">(Sewanee Archives 12/16/1942). </w:t>
      </w:r>
      <w:r>
        <w:t xml:space="preserve">The note stands as high praise from Tate, who had a reputation as a </w:t>
      </w:r>
      <w:r w:rsidR="0083353C">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What there is of it is private and accidental” (Foreword 196). This theme is firmly developed in Leatherman’s story, which centers on young Jim Daigre, his loss of innocence and his meand</w:t>
      </w:r>
      <w:r w:rsidR="0083353C">
        <w:t xml:space="preserve">ering initiation into manhood. </w:t>
      </w:r>
      <w:r>
        <w:t>Jim’s older and worldly cousin, Corely, exposes the boy’s inexperience by asking him about his small bottle of wine: “‘Bet you don’t know what this is’ ”(</w:t>
      </w:r>
      <w:r w:rsidR="00DA402A">
        <w:t>Sewanee Review</w:t>
      </w:r>
      <w:r>
        <w:t xml:space="preserve"> 105 V 5</w:t>
      </w:r>
      <w:r w:rsidR="0083353C">
        <w:t>1) Corely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 xml:space="preserve">“He walked up to the wall of the forest. Slowly the fear grew, slowly as the </w:t>
      </w:r>
      <w:r>
        <w:lastRenderedPageBreak/>
        <w:t>trees grew higher over him, formed in his head and</w:t>
      </w:r>
      <w:r w:rsidR="0083353C">
        <w:t xml:space="preserve"> became a human, living thing. </w:t>
      </w:r>
      <w:r>
        <w:t>And, slowly, that was all there was; this fear as real as any human being.  It destroyed all his memory, all his knowledge” (</w:t>
      </w:r>
      <w:r w:rsidR="00DA402A">
        <w:t>Sewanee Review</w:t>
      </w:r>
      <w:r>
        <w:t xml:space="preserve"> 111 V 51).  Jim’s entrance into the forest may be interpreted as a step toward his own initiation into society, while the bull itself represents the primal impetus toward knowledge. Immediately after Jim’s revelation he finds</w:t>
      </w:r>
      <w:r w:rsidR="0083353C">
        <w:t xml:space="preserve"> himself swimming with Corely.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w:t>
      </w:r>
      <w:r w:rsidR="00DA402A">
        <w:t>Sewanee Review</w:t>
      </w:r>
      <w:r>
        <w:t xml:space="preserve"> 111 V 51).  The bull elicits Jim’s new sensations of physical awareness, the same mod</w:t>
      </w:r>
      <w:r w:rsidR="0083353C">
        <w:t xml:space="preserve">esty produced by original sin. </w:t>
      </w:r>
      <w:r>
        <w:t>Unaware or perhaps unwilling to allow their boys to reach natural level of maturity, the adults of the story slaughter the bull. As the story closes Jim overhears “something about the bad old bull being gone out of the wood and how little children don’t have to be afraid anymore” (</w:t>
      </w:r>
      <w:r w:rsidR="00DA402A">
        <w:t>Sewanee Review</w:t>
      </w:r>
      <w:r>
        <w:t xml:space="preserve"> 120 V 51). The adults in the story ultimately cannot allow their son to begin his own growth and suspend him in a state of safe and complacent childhood.  Removed from his natural rights of initiation, Jim languishes in immaturity. </w:t>
      </w:r>
    </w:p>
    <w:p w:rsidR="00615CFA" w:rsidRDefault="00615CFA">
      <w:pPr>
        <w:spacing w:line="480" w:lineRule="auto"/>
        <w:ind w:firstLine="720"/>
      </w:pPr>
      <w:r>
        <w:t xml:space="preserve">Leatherman returned to the </w:t>
      </w:r>
      <w:r w:rsidR="00DA402A">
        <w:rPr>
          <w:i/>
        </w:rPr>
        <w:t>Sewanee Review</w:t>
      </w:r>
      <w:r>
        <w:t xml:space="preserve"> the next year with “The Sportsman,” a story about Jim Daigre’s first try at fishing. With his father unwilling to teach him how to fish on his own, Jim is pushed into learning by Corley. While he manages to hook an impressive catch, he is incapable of accepting his father’s pride as Corley and then his father re</w:t>
      </w:r>
      <w:r w:rsidR="0083353C">
        <w:t xml:space="preserve">tell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sidR="00DA402A">
        <w:rPr>
          <w:i/>
        </w:rPr>
        <w:t>Sewanee Review</w:t>
      </w:r>
      <w:r>
        <w:rPr>
          <w:i/>
        </w:rPr>
        <w:t xml:space="preserve"> </w:t>
      </w:r>
      <w:r>
        <w:t xml:space="preserve">in 1945) </w:t>
      </w:r>
      <w:r>
        <w:lastRenderedPageBreak/>
        <w:t>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Leatherman’s stories. Their relationship is also further indicative of Lytle’s style as an editor, as he would continue to forge new literary relationships throughout his career.  </w:t>
      </w:r>
    </w:p>
    <w:p w:rsidR="00615CFA" w:rsidRDefault="00615CFA">
      <w:pPr>
        <w:spacing w:line="480" w:lineRule="auto"/>
        <w:ind w:firstLine="720"/>
      </w:pPr>
      <w:r>
        <w:t>Janssens also fails to take notice of Lytle’s further selections during</w:t>
      </w:r>
      <w:r w:rsidR="0083353C">
        <w:t xml:space="preserve"> his first editorial position. </w:t>
      </w:r>
      <w:r>
        <w:t xml:space="preserve">The spring 1944 issue, for example, includes a long section of Robert Penn Warren’s forthcoming novel </w:t>
      </w:r>
      <w:r>
        <w:rPr>
          <w:i/>
        </w:rPr>
        <w:t>At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poems” (Young and Sarcone 197).</w:t>
      </w:r>
      <w:r>
        <w:t xml:space="preserve"> If anything, Lytle’s issues continued to increase in quality, presenting poetry by Lowell and John Berryman, and other essays from Cleanth Brooks, Donald Davidson and </w:t>
      </w:r>
      <w:r w:rsidR="00AA4D4D">
        <w:t>Alan</w:t>
      </w:r>
      <w:r>
        <w:t xml:space="preserve"> Tate. His essay on Dostoyevsky, “The Hovering Fly,” led th</w:t>
      </w:r>
      <w:r w:rsidR="00B36251">
        <w:t>e magazine in the summer issue.</w:t>
      </w:r>
      <w:r>
        <w:t xml:space="preserve"> Perhaps most important, as Core notes, a “critical program is taking shape” (Editorial History 8), in accordance wit</w:t>
      </w:r>
      <w:r w:rsidR="00B36251">
        <w:t>h Tate’s standards. J</w:t>
      </w:r>
      <w:r>
        <w:t xml:space="preserve">anssens does record, rather begrudgingly, Richard Croom Beatty’s comments on Lytle’s two years at the </w:t>
      </w:r>
      <w:r w:rsidR="00DA402A">
        <w:rPr>
          <w:i/>
        </w:rPr>
        <w:t>Sewanee Review</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(Janssens 278).  </w:t>
      </w:r>
    </w:p>
    <w:p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w:t>
      </w:r>
      <w:r>
        <w:lastRenderedPageBreak/>
        <w:t xml:space="preserve">magazine, particularly for eight issues over two years when he had expected to edit none. To Lytle’s relief, on October 13, 1943, the Regents of the university unanimously agreed to invite </w:t>
      </w:r>
      <w:r w:rsidR="00AA4D4D">
        <w:t>Alan</w:t>
      </w:r>
      <w:r>
        <w:t xml:space="preserve"> Tate once again to edit the magazine (Janssens 279). This time Tate accepted the offer and was able to combine friendly donations along with a government grant secured by Guerry in an effort to pay contributors at a competitive rate. Tate also held the editorship for only eight issues, but in his brief tenure he more than tripled the circulation of the </w:t>
      </w:r>
      <w:r w:rsidR="00DA402A">
        <w:rPr>
          <w:i/>
        </w:rPr>
        <w:t>Sewanee Review</w:t>
      </w:r>
      <w:r>
        <w:t xml:space="preserve"> and further cemented its critical program, even featuring contributions from W.H. Auden and T.S. </w:t>
      </w:r>
      <w:r w:rsidR="00AA4D4D">
        <w:t>Elliot</w:t>
      </w:r>
      <w:r>
        <w:t xml:space="preserve">. Leatherman published another story in the </w:t>
      </w:r>
      <w:r w:rsidR="00DA402A">
        <w:rPr>
          <w:i/>
        </w:rPr>
        <w:t>Sewanee Review</w:t>
      </w:r>
      <w:r>
        <w:t xml:space="preserve"> in 1946, and, in another letter in the Sewanee Archives, actually requested that his third story be printed in the </w:t>
      </w:r>
      <w:r w:rsidR="00DA402A">
        <w:rPr>
          <w:i/>
        </w:rPr>
        <w:t>Sewanee Review</w:t>
      </w:r>
      <w:r>
        <w:t xml:space="preserve"> as the connective middle “Jim Daigre” story, “two of which Mr. Lytle published in the </w:t>
      </w:r>
      <w:r w:rsidR="00DA402A">
        <w:rPr>
          <w:i/>
        </w:rPr>
        <w:t>Sewanee Review</w:t>
      </w:r>
      <w:r>
        <w:t xml:space="preserve">…I hope you will publish it” (8/22/1945).  Tate obliged his request. As Core argues, the </w:t>
      </w:r>
      <w:r w:rsidR="00DA402A">
        <w:rPr>
          <w:i/>
        </w:rPr>
        <w:t>Sewanee Review</w:t>
      </w:r>
      <w:r>
        <w:rPr>
          <w:i/>
        </w:rPr>
        <w:t xml:space="preserve">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it….the new </w:t>
      </w:r>
      <w:r>
        <w:rPr>
          <w:i/>
        </w:rPr>
        <w:t>Sewanee Review</w:t>
      </w:r>
      <w:r>
        <w:t xml:space="preserve"> became an incomparably greater force in the world at large and in the Republic of Letters by at once making and interpreting literary history” (Editorial History 9-10).  </w:t>
      </w:r>
    </w:p>
    <w:p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sidR="00DA402A">
        <w:rPr>
          <w:i/>
        </w:rPr>
        <w:t>Sewanee Review</w:t>
      </w:r>
      <w:r>
        <w:t xml:space="preserve">, a role that Lytle would use effectively during Spears’s editorship. He was even able to secure Leatherman a </w:t>
      </w:r>
      <w:r w:rsidR="00DA402A">
        <w:rPr>
          <w:i/>
        </w:rPr>
        <w:t>Sewanee Review</w:t>
      </w:r>
      <w:r w:rsidR="00161DA4">
        <w:t xml:space="preserve"> fellowship (a</w:t>
      </w:r>
      <w:r>
        <w:t xml:space="preserve"> by-product </w:t>
      </w:r>
      <w:r>
        <w:lastRenderedPageBreak/>
        <w:t>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rsidR="00615CFA" w:rsidRDefault="00615CFA">
      <w:pPr>
        <w:spacing w:line="480" w:lineRule="auto"/>
      </w:pPr>
      <w:r>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sidR="00DA402A">
        <w:rPr>
          <w:i/>
        </w:rPr>
        <w:t>Sewanee Review</w:t>
      </w:r>
      <w:r>
        <w:t xml:space="preserve">, Lytle was more than willing to look over Leatherman’s work, editing the third Jim </w:t>
      </w:r>
      <w:r w:rsidR="00564382">
        <w:t xml:space="preserve">Daigre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rsidR="00615CFA" w:rsidRDefault="00615CFA">
      <w:pPr>
        <w:spacing w:line="480" w:lineRule="auto"/>
        <w:ind w:left="1440"/>
      </w:pPr>
      <w:r>
        <w:t xml:space="preserve">Years ago at Iowa City in a rather informal class meeting I read aloud a story by one of the students.  I was told later that it was understood that I would know how to pronounce in good country idiom the word </w:t>
      </w:r>
      <w:r>
        <w:rPr>
          <w:i/>
        </w:rPr>
        <w:t>chitling</w:t>
      </w:r>
      <w:r w:rsidR="00564382">
        <w:t xml:space="preserve">, which appeared in the story. </w:t>
      </w:r>
      <w:r>
        <w:t xml:space="preserve">At once it was obvious that the author of the story was herself not only </w:t>
      </w:r>
      <w:r w:rsidR="00B64440">
        <w:lastRenderedPageBreak/>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it. </w:t>
      </w:r>
      <w:r>
        <w:t>And then I realized that she had done what any first-rate artist always does—she had made something more essential than life but resembling it. . . .</w:t>
      </w:r>
    </w:p>
    <w:p w:rsidR="00615CFA" w:rsidRDefault="00615CFA">
      <w:pPr>
        <w:spacing w:line="480" w:lineRule="auto"/>
      </w:pPr>
      <w:r>
        <w:tab/>
      </w:r>
      <w:r>
        <w:tab/>
        <w:t>T</w:t>
      </w:r>
      <w:r w:rsidR="00AA4D4D">
        <w:t>his, of course, was Flannery O’</w:t>
      </w:r>
      <w:r>
        <w:t xml:space="preserve">Connor (Literary Portraits 187).  </w:t>
      </w:r>
    </w:p>
    <w:p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sidR="00DA402A">
        <w:rPr>
          <w:i/>
        </w:rPr>
        <w:t>Sewanee Review</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sidR="00DA402A">
        <w:rPr>
          <w:i/>
        </w:rPr>
        <w:t>Sewanee Review</w:t>
      </w:r>
      <w:r>
        <w:t xml:space="preserve"> would not be the first</w:t>
      </w:r>
      <w:r w:rsidR="00564382">
        <w:t xml:space="preserve"> magazine to publish her work. </w:t>
      </w:r>
      <w:r>
        <w:t xml:space="preserve">He also asked O’Connor to “please give my best regards to the Lytles” (Sewanee Archives 10/9/1947).  </w:t>
      </w:r>
    </w:p>
    <w:p w:rsidR="00615CFA" w:rsidRDefault="00615CFA">
      <w:pPr>
        <w:spacing w:line="480" w:lineRule="auto"/>
        <w:ind w:firstLine="720"/>
      </w:pPr>
      <w:r>
        <w:t xml:space="preserve">O’Connor’s introduction to Lytle and the </w:t>
      </w:r>
      <w:r w:rsidR="00DA402A">
        <w:rPr>
          <w:i/>
        </w:rPr>
        <w:t>Sewanee Review</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 xml:space="preserve">Had she not become his protégé before sending her fiction to Ransom, she might have been another writer whose </w:t>
      </w:r>
      <w:r>
        <w:lastRenderedPageBreak/>
        <w:t>stories Ransom did not ‘like quite enough’….Cognizant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sidR="00DA402A">
        <w:rPr>
          <w:i/>
        </w:rPr>
        <w:t>Sewanee Review</w:t>
      </w:r>
      <w:r w:rsidR="00564382">
        <w:t xml:space="preserve">. </w:t>
      </w:r>
      <w:r>
        <w:t xml:space="preserve">Other men in Lytle’s or Palmer’s positions may well have tried to keep O’Connor’s talents hidden from Ransom, whose </w:t>
      </w:r>
      <w:r>
        <w:rPr>
          <w:i/>
        </w:rPr>
        <w:t>Kenyon Review</w:t>
      </w:r>
      <w:r>
        <w:t xml:space="preserve"> stood as the only literary quarterly competing against the </w:t>
      </w:r>
      <w:r w:rsidR="00DA402A">
        <w:rPr>
          <w:i/>
        </w:rPr>
        <w:t>Sewanee Review</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sidR="00DA402A">
        <w:rPr>
          <w:i/>
        </w:rPr>
        <w:t>Sewanee Review</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Leatherman muses that “hers</w:t>
      </w:r>
      <w:r w:rsidR="00387734">
        <w:t xml:space="preserve"> </w:t>
      </w:r>
      <w:r>
        <w:t xml:space="preserve">is a wise, wicked and gleaning eye looking straight out of a real humanity and that accounts, or goes toward…the balance….I hope you’ll continue to exert </w:t>
      </w:r>
      <w:r>
        <w:lastRenderedPageBreak/>
        <w:t>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rsidR="00615CFA" w:rsidRDefault="002918BC" w:rsidP="002918BC">
      <w:pPr>
        <w:spacing w:line="480" w:lineRule="auto"/>
        <w:ind w:firstLine="720"/>
      </w:pPr>
      <w:r>
        <w:t>After O’Connor graduated from</w:t>
      </w:r>
      <w:r w:rsidR="00615CFA">
        <w:t xml:space="preserve"> Iowa, having accepted an invitation to the then fledgling artists’ colony Yaddo,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DA402A">
        <w:rPr>
          <w:i/>
        </w:rPr>
        <w:t>Sewanee Review</w:t>
      </w:r>
      <w:r w:rsidR="00615CFA">
        <w:t xml:space="preserve">, including Smith Kirkpatrick and Madison Jones. In was through his position as advisory editor to the </w:t>
      </w:r>
      <w:r w:rsidR="00DA402A">
        <w:rPr>
          <w:i/>
        </w:rPr>
        <w:t>Sewanee Review</w:t>
      </w:r>
      <w:r w:rsidR="00615CFA">
        <w:t xml:space="preserve"> under Spears, however, that Lytle became acquainted with yet another of his young charge</w:t>
      </w:r>
      <w:r>
        <w:t>s, James Dickey.</w:t>
      </w:r>
      <w:r w:rsidR="00615CFA">
        <w:t xml:space="preserve"> Dickey had early connections to the </w:t>
      </w:r>
      <w:r w:rsidR="00DA402A">
        <w:rPr>
          <w:i/>
        </w:rPr>
        <w:t>Sewanee Review</w:t>
      </w:r>
      <w:r w:rsidR="00615CFA">
        <w:t xml:space="preserve">, which was the first major magazine </w:t>
      </w:r>
      <w:r>
        <w:t xml:space="preserve">to publish his poetry in 1947. </w:t>
      </w:r>
      <w:r w:rsidR="00615CFA">
        <w:t xml:space="preserve">Dickey applied for and was awarded a </w:t>
      </w:r>
      <w:r w:rsidR="00DA402A">
        <w:rPr>
          <w:i/>
        </w:rPr>
        <w:t>Sewanee Review</w:t>
      </w:r>
      <w:r w:rsidR="00615CFA">
        <w:rPr>
          <w:i/>
        </w:rPr>
        <w:t xml:space="preserve"> </w:t>
      </w:r>
      <w:r w:rsidR="00615CFA">
        <w:t xml:space="preserve">fellowship in 1954—both </w:t>
      </w:r>
      <w:r w:rsidR="00AA4D4D">
        <w:t>Alan</w:t>
      </w:r>
      <w:r w:rsidR="00615CFA">
        <w:t xml:space="preserve">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DA402A">
        <w:rPr>
          <w:i/>
        </w:rPr>
        <w:t>Sewanee Review</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rsidR="00615CFA" w:rsidRDefault="00615CFA">
      <w:pPr>
        <w:spacing w:line="480" w:lineRule="auto"/>
        <w:ind w:firstLine="720"/>
      </w:pPr>
      <w:r>
        <w:lastRenderedPageBreak/>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r>
        <w:rPr>
          <w:i/>
        </w:rPr>
        <w:t>Buckdancer’s Choice</w:t>
      </w:r>
      <w:r w:rsidR="002918BC">
        <w:t xml:space="preserve"> in 1965. </w:t>
      </w:r>
      <w:r>
        <w:t>Dickey’s admiration for Lytle transcended a traditional friendship, 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sidR="00DA402A">
        <w:rPr>
          <w:i/>
        </w:rPr>
        <w:t>Sewanee Review</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 xml:space="preserve">(supposedly)  </w:t>
      </w:r>
      <w:r>
        <w:t xml:space="preserve">coarsely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sidR="00DA402A">
        <w:rPr>
          <w:i/>
        </w:rPr>
        <w:t>Sewanee Review</w:t>
      </w:r>
      <w:r w:rsidR="00634854">
        <w:t>.</w:t>
      </w:r>
    </w:p>
    <w:p w:rsidR="00615CFA" w:rsidRDefault="00615CFA">
      <w:pPr>
        <w:spacing w:line="480" w:lineRule="auto"/>
      </w:pPr>
      <w:r>
        <w:lastRenderedPageBreak/>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to the Fitzgeralds,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sidR="00DA402A">
        <w:rPr>
          <w:i/>
        </w:rPr>
        <w:t>Sewanee Review</w:t>
      </w:r>
      <w:r w:rsidR="009B7754">
        <w:t xml:space="preserve">. </w:t>
      </w:r>
      <w:r>
        <w:t xml:space="preserve">Lytle remains a common thread, linking new students and old friends.   </w:t>
      </w:r>
    </w:p>
    <w:p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sidR="00DA402A">
        <w:rPr>
          <w:i/>
        </w:rPr>
        <w:t>Sewanee Review</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sidR="00DA402A">
        <w:rPr>
          <w:i/>
        </w:rPr>
        <w:t>Sewanee Review</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w:t>
      </w:r>
      <w:r>
        <w:lastRenderedPageBreak/>
        <w:t xml:space="preserve">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later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ok that long” (Fitzgerald 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rsidR="00615CFA" w:rsidRDefault="00615CFA">
      <w:pPr>
        <w:spacing w:line="480" w:lineRule="auto"/>
        <w:ind w:firstLine="720"/>
      </w:pPr>
      <w:r>
        <w:t xml:space="preserve">In 1961 Lytle was invited to resume work at the </w:t>
      </w:r>
      <w:r w:rsidR="00DA402A">
        <w:rPr>
          <w:i/>
        </w:rPr>
        <w:t>Sewanee Review</w:t>
      </w:r>
      <w:r>
        <w:t>, this time as editor in n</w:t>
      </w:r>
      <w:r w:rsidR="0034690E">
        <w:t>ame and fact, replacing Spears.</w:t>
      </w:r>
      <w:r>
        <w:t xml:space="preserve"> In his editorial statement, following the lead made by Palmer in succeeding Tate and Spears, Lytle pledged that the </w:t>
      </w:r>
      <w:r w:rsidR="00DA402A">
        <w:rPr>
          <w:i/>
        </w:rPr>
        <w:t>Sewanee Review</w:t>
      </w:r>
      <w:r>
        <w:t xml:space="preserve"> would continue on its </w:t>
      </w:r>
      <w:r>
        <w:lastRenderedPageBreak/>
        <w:t xml:space="preserve">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w:t>
      </w:r>
      <w:r w:rsidR="00DA402A">
        <w:t>Sewanee Review</w:t>
      </w:r>
      <w:r w:rsidR="0034690E">
        <w:t xml:space="preserve">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(Editorial History 17), fiction was Lytle’s primary concern, as it had always been, and during his editorship he would publish an average of ten stories per year—Spears, by most immediate contrast, went through one year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sidR="00DA402A">
        <w:rPr>
          <w:i/>
        </w:rPr>
        <w:t>Sewanee Review</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some times. 3. Verse—the work of 25-30 poets” (Lytle, Steps 1).  Lytle followed these guidelines, mostly, throughout his time at the </w:t>
      </w:r>
      <w:r w:rsidR="00DA402A">
        <w:rPr>
          <w:i/>
        </w:rPr>
        <w:t>Sewanee Review</w:t>
      </w:r>
      <w:r>
        <w:t xml:space="preserve">, always making room for fiction and publishing such notable poets as Dickey, Warren and Ted Hughes, and essays by Caroline Gordon, Arthur Mizener, Brainerd Cheney and Austin Warren </w:t>
      </w:r>
    </w:p>
    <w:p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w:t>
      </w:r>
      <w:r w:rsidR="0034690E">
        <w:lastRenderedPageBreak/>
        <w:t xml:space="preserve">students. </w:t>
      </w:r>
      <w:r>
        <w:t xml:space="preserve">The winter issue saw Leatherman’s name return to the </w:t>
      </w:r>
      <w:r w:rsidR="00DA402A">
        <w:rPr>
          <w:i/>
        </w:rPr>
        <w:t>Sewanee Review</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“Whether Mr. Dickey’s essay belongs or not, I am glad it is there; the problem [racism] is there, everywhere, but you almost never find other poets writing about it, let alone writing with su</w:t>
      </w:r>
      <w:r w:rsidR="0034690E">
        <w:t>ch integrity” (</w:t>
      </w:r>
      <w:r w:rsidR="00DA402A">
        <w:t>Sewanee Review</w:t>
      </w:r>
      <w:r w:rsidR="0034690E">
        <w:t xml:space="preserve"> 166 V 70). </w:t>
      </w:r>
      <w:r>
        <w:t>Leatherman becomes even more vocal over Lytle’s lack of recognition in the anthology and the poor handling of the one essay included about Lytle’s work:  “I thought it would no longer be possible to neglect Andrew Lytle in any discussion of modern literature, but I was wrong. . . . Carter contributes an essay about him which, though full of respect and admiration, does not come near doing him justice” (</w:t>
      </w:r>
      <w:r w:rsidR="00DA402A">
        <w:t>Sewanee Review</w:t>
      </w:r>
      <w:r>
        <w:t xml:space="preserve">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rsidR="00615CFA" w:rsidRDefault="00615CFA">
      <w:pPr>
        <w:spacing w:line="480" w:lineRule="auto"/>
        <w:ind w:firstLine="720"/>
      </w:pPr>
      <w:r>
        <w:t>The summer issue saw Dickey gave a typically dualistic review of the poet John Logan, full of elegant praise and urbane criticism:  “he stands, in my opinion, an exciting chance of being one of the finest poet we have ever had . . . (It might help, also, if he could find a less prosaic way of writing, and if he would explore a little among the dynamics of language)” (</w:t>
      </w:r>
      <w:r w:rsidR="00DA402A">
        <w:t>Sewanee Review</w:t>
      </w:r>
      <w:r>
        <w:t xml:space="preserve"> 260 V70).  Dickey often received and responded to criticism over his reviews, and the </w:t>
      </w:r>
      <w:r w:rsidR="00DA402A">
        <w:rPr>
          <w:i/>
        </w:rPr>
        <w:t>Sewanee Review</w:t>
      </w:r>
      <w:r>
        <w:rPr>
          <w:i/>
        </w:rPr>
        <w:t xml:space="preserve"> </w:t>
      </w:r>
      <w:r>
        <w:t xml:space="preserve">often published both of these paired letters, once heatedly from Wendell </w:t>
      </w:r>
      <w:r>
        <w:lastRenderedPageBreak/>
        <w:t xml:space="preserve">Berry (who still contributes to the </w:t>
      </w:r>
      <w:r w:rsidR="00DA402A">
        <w:rPr>
          <w:i/>
        </w:rPr>
        <w:t>Sewanee Review</w:t>
      </w:r>
      <w:r>
        <w:t>) in 1964: “it’s hard to imagine how any reader could benefit from a reviewer who apparently can’t tell the difference between common snottiness and criticism” (</w:t>
      </w:r>
      <w:r w:rsidR="00DA402A">
        <w:t>Sewanee Review</w:t>
      </w:r>
      <w:r>
        <w:t xml:space="preserve"> 552 V72). </w:t>
      </w:r>
    </w:p>
    <w:p w:rsidR="00615CFA" w:rsidRDefault="00615CFA">
      <w:pPr>
        <w:spacing w:line="480" w:lineRule="auto"/>
        <w:ind w:firstLine="720"/>
      </w:pPr>
      <w:r>
        <w:t>The summer 1962 issue also saw Lytle’s first real editorial effort toward a cohesive issues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Lytle proposed the idea of an issue devoted to O’Connor that 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sidR="00DA402A">
        <w:rPr>
          <w:i/>
        </w:rPr>
        <w:t>Sewanee Review</w:t>
      </w:r>
      <w:r w:rsidR="0034690E">
        <w:t>.</w:t>
      </w:r>
      <w:r>
        <w:t xml:space="preserve"> O’Connor had already published three stories for the </w:t>
      </w:r>
      <w:r w:rsidR="00DA402A">
        <w:rPr>
          <w:i/>
        </w:rPr>
        <w:t>Sewanee Review</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xml:space="preserve">] knowing you think it works….There are not many people whose opinion on this I </w:t>
      </w:r>
      <w:r w:rsidR="0034690E">
        <w:t xml:space="preserve">set </w:t>
      </w:r>
      <w:r w:rsidR="0034690E">
        <w:lastRenderedPageBreak/>
        <w:t>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issue, centering on Peter Taylor, another friend of his, and his story “At the Drugstore,” with three pieces of accompanying criticism on Taylor.  </w:t>
      </w:r>
    </w:p>
    <w:p w:rsidR="00615CFA" w:rsidRDefault="00615CFA">
      <w:pPr>
        <w:spacing w:line="480" w:lineRule="auto"/>
        <w:ind w:firstLine="720"/>
      </w:pPr>
      <w:r>
        <w:t xml:space="preserve">1963 saw two pieces from Lytle’s former students, Madison Jones and Smith Kirkpatrick, verse from Dickey, and another piece on O’Connor, this time from Brainerd Cheney.  Late in the year Lytle solicited another story from O’Connor, telling her that her contribution would be essential:  “I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 . . .I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sidR="00DA402A">
        <w:rPr>
          <w:i/>
        </w:rPr>
        <w:t>Sewanee Review</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sidR="00DA402A">
        <w:rPr>
          <w:i/>
        </w:rPr>
        <w:t>Sewanee Review</w:t>
      </w:r>
      <w:r>
        <w:t>, however, with Lytle publishing six essays on her achievem</w:t>
      </w:r>
      <w:r w:rsidR="0034690E">
        <w:t>ent during the next five years.</w:t>
      </w:r>
      <w:r>
        <w:t xml:space="preserve"> As </w:t>
      </w:r>
      <w:r>
        <w:lastRenderedPageBreak/>
        <w:t xml:space="preserve">Core estimates, “With Flannery O’Connor—her fiction and the criticism of it—Lytle performed best as editor” (Editorial History18).        </w:t>
      </w:r>
    </w:p>
    <w:p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it</w:t>
      </w:r>
      <w:r w:rsidR="0034690E">
        <w:t>” (Sewanee Archives 11/1/1961).</w:t>
      </w:r>
      <w:r>
        <w:t xml:space="preserve"> Leatherman had, in fact, once attempted to persuade John Palmer for a piece on the theater for the </w:t>
      </w:r>
      <w:r w:rsidR="00DA402A">
        <w:rPr>
          <w:i/>
        </w:rPr>
        <w:t>Sewanee Review</w:t>
      </w:r>
      <w:r w:rsidR="0034690E">
        <w:t xml:space="preserve">. </w:t>
      </w:r>
      <w:r>
        <w:t xml:space="preserve">Palmer responded most negatively: “I’m afraid I don’t think too much of your suggestion of a theater [issue]. . . .I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service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sidR="00DA402A">
        <w:rPr>
          <w:i/>
        </w:rPr>
        <w:t>Sewanee Review</w:t>
      </w:r>
      <w:r>
        <w:t xml:space="preserve">—he had first established his relationship with </w:t>
      </w:r>
      <w:r>
        <w:lastRenderedPageBreak/>
        <w:t>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sidR="00DA402A">
        <w:rPr>
          <w:i/>
        </w:rPr>
        <w:t>Sewanee Review</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Buckdancer’s Choice </w:t>
      </w:r>
      <w:r>
        <w:t xml:space="preserve">and his immensely popular novel </w:t>
      </w:r>
      <w:r>
        <w:rPr>
          <w:i/>
        </w:rPr>
        <w:t xml:space="preserve">Deliverance </w:t>
      </w:r>
      <w:r>
        <w:t xml:space="preserve">(1970), of later Hollywood fame, ended such discussions.  Lytle did publish criticism on Dickey from H.L. Weatherby the next year (and, in due time, a flattering review of </w:t>
      </w:r>
      <w:r>
        <w:rPr>
          <w:i/>
        </w:rPr>
        <w:t>Deliverance</w:t>
      </w:r>
      <w:r>
        <w:t>) but Dickey’s own contributions to the magazine abruptly ceased.</w:t>
      </w:r>
    </w:p>
    <w:p w:rsidR="00615CFA" w:rsidRDefault="00615CFA">
      <w:pPr>
        <w:spacing w:line="480" w:lineRule="auto"/>
        <w:ind w:firstLine="720"/>
      </w:pPr>
      <w:r>
        <w:t>Within five years of Lytle’s first issue three of his most accomplished</w:t>
      </w:r>
      <w:r w:rsidR="0034690E">
        <w:t xml:space="preserve"> </w:t>
      </w:r>
      <w:r>
        <w:t>contributors and friends had either shifted their interests elsewhere or passed away.  Even with their absence Lytle was by no means incapable of producing a magazine, relying upon the countless writers he had known and taught throughout his many years, such as Caroline Gordon—</w:t>
      </w:r>
      <w:r w:rsidR="00AA4D4D">
        <w:t>Alan</w:t>
      </w:r>
      <w:r>
        <w:t xml:space="preserve"> Tate’s first wife—Peter Taylor, Madison Jones, Smith Kirkpatrick, Wyatt Prunty, William Ralston (his assistant editor), Kathleen Raine,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Tate himself promoted the concept in his essay on the management of literary quarterlies, declaring that a strong core of regular contributors were vital to</w:t>
      </w:r>
      <w:r w:rsidR="0034690E">
        <w:t xml:space="preserve"> a developing critical program.</w:t>
      </w:r>
      <w:r>
        <w:t xml:space="preserve"> While the notion is theoretically sound and a necessity in practice, in reflecting on the history of the </w:t>
      </w:r>
      <w:r w:rsidR="00DA402A">
        <w:rPr>
          <w:i/>
        </w:rPr>
        <w:t>Sewanee Review</w:t>
      </w:r>
      <w:r>
        <w:t xml:space="preserve"> we cannot help but wonder if Lytle would have been able to succeed at all as an editor without being able to depend on his cultivated group of writers.   </w:t>
      </w:r>
    </w:p>
    <w:p w:rsidR="00615CFA" w:rsidRDefault="00615CFA">
      <w:pPr>
        <w:spacing w:line="480" w:lineRule="auto"/>
        <w:ind w:firstLine="720"/>
      </w:pPr>
      <w:r>
        <w:lastRenderedPageBreak/>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sidR="00DA402A">
        <w:rPr>
          <w:i/>
        </w:rPr>
        <w:t>Sewanee Review</w:t>
      </w:r>
      <w:r>
        <w:rPr>
          <w:i/>
        </w:rPr>
        <w:t xml:space="preserve">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still alive” (</w:t>
      </w:r>
      <w:r w:rsidR="00DA402A">
        <w:t>Sewanee Review</w:t>
      </w:r>
      <w:r w:rsidR="0034690E">
        <w:t xml:space="preserve"> 719 V 73). </w:t>
      </w:r>
      <w:r>
        <w:t xml:space="preserve">While McCarthy never returned to the </w:t>
      </w:r>
      <w:r w:rsidR="00DA402A">
        <w:rPr>
          <w:i/>
        </w:rPr>
        <w:t>Sewanee Review</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 xml:space="preserve">ated to commemorate T.S. </w:t>
      </w:r>
      <w:r w:rsidR="00AA4D4D">
        <w:t>Elliot</w:t>
      </w:r>
      <w:r w:rsidR="0034690E">
        <w:t>.</w:t>
      </w:r>
      <w:r>
        <w:t xml:space="preserve"> The issue was led by </w:t>
      </w:r>
      <w:r w:rsidR="00AA4D4D">
        <w:t>Elliot</w:t>
      </w:r>
      <w:r>
        <w:t xml:space="preserve">’s last contribution to the </w:t>
      </w:r>
      <w:r w:rsidR="00DA402A">
        <w:rPr>
          <w:i/>
        </w:rPr>
        <w:t>Sewanee Review</w:t>
      </w:r>
      <w:r>
        <w:t xml:space="preserve"> and also included pieces from Lytle’s oldest friends and contributors—Tate, Brooks, Ransom and even a piece from Ezra Pound.  </w:t>
      </w:r>
    </w:p>
    <w:p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w:t>
      </w:r>
      <w:r w:rsidR="00DA402A">
        <w:t>Sewanee Review</w:t>
      </w:r>
      <w:r w:rsidR="0034690E">
        <w:t xml:space="preserve"> 1961 V 69). </w:t>
      </w:r>
      <w:r>
        <w:t xml:space="preserve">Nearing the end of his tenure as editor, Lytle still rose to the defense of the tenets laid out by Tate in 1936, arguing for the careful consideration of the quarterlies to showcase literature and criticism outside the constraints of mainstream magazines: </w:t>
      </w:r>
      <w:r>
        <w:lastRenderedPageBreak/>
        <w:t xml:space="preserve">“A poet of great reputation asked me not long ago if I didn’t think literary quarterlies were out of fashion…. I told him I didn’t think so….the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sidR="00DA402A">
        <w:rPr>
          <w:i/>
        </w:rPr>
        <w:t>Sewanee Review</w:t>
      </w:r>
      <w:r>
        <w:t xml:space="preserve"> have been able to maintain the momentum of their predecessors. In this sense, Lytle may indeed have finished what he started, despite the fact that he had no desire for it in the first place. Had Lytle been truly unwilling to bear the burden of editing his first two volumes in the early 1940’s the </w:t>
      </w:r>
      <w:r w:rsidR="00DA402A">
        <w:rPr>
          <w:i/>
        </w:rPr>
        <w:t>Sewanee Review</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sidR="00DA402A">
        <w:rPr>
          <w:i/>
        </w:rPr>
        <w:t>Sewanee Review</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sidR="00DA402A">
        <w:rPr>
          <w:i/>
        </w:rPr>
        <w:t>Sewanee Review</w:t>
      </w:r>
      <w:r w:rsidR="0034690E">
        <w:t xml:space="preserve"> could continue to strive. </w:t>
      </w:r>
      <w:r>
        <w:t>To this day</w:t>
      </w:r>
      <w:r w:rsidR="0034690E">
        <w:t>,</w:t>
      </w:r>
      <w:r>
        <w:t xml:space="preserve"> the magazine has yet to miss an issue in its </w:t>
      </w:r>
      <w:r>
        <w:lastRenderedPageBreak/>
        <w:t>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9259EF" w:rsidRDefault="00736C76" w:rsidP="009259EF">
      <w:pPr>
        <w:jc w:val="center"/>
        <w:sectPr w:rsidR="009259EF" w:rsidSect="009259EF">
          <w:headerReference w:type="default" r:id="rId8"/>
          <w:footerReference w:type="default" r:id="rId9"/>
          <w:headerReference w:type="first" r:id="rId10"/>
          <w:pgSz w:w="12240" w:h="15840"/>
          <w:pgMar w:top="1440" w:right="1440" w:bottom="1440" w:left="1440" w:header="720" w:footer="720" w:gutter="0"/>
          <w:pgNumType w:start="1"/>
          <w:cols w:space="720"/>
          <w:noEndnote/>
          <w:titlePg/>
          <w:docGrid w:linePitch="326"/>
        </w:sectPr>
      </w:pPr>
      <w:r>
        <w:t xml:space="preserve">[Document excerpt provided courtesy of William Fisher </w:t>
      </w:r>
      <w:r>
        <w:rPr>
          <w:rFonts w:cs="Times"/>
        </w:rPr>
        <w:t>©</w:t>
      </w:r>
      <w:r w:rsidR="009259EF">
        <w:t xml:space="preserve"> 2009]</w:t>
      </w:r>
    </w:p>
    <w:p w:rsidR="00615CFA" w:rsidRDefault="00615CFA">
      <w:pPr>
        <w:pStyle w:val="Heading1"/>
        <w:ind w:left="0" w:firstLine="0"/>
      </w:pPr>
      <w:r>
        <w:lastRenderedPageBreak/>
        <w:t>Works Cited</w:t>
      </w:r>
    </w:p>
    <w:p w:rsidR="00615CFA" w:rsidRDefault="00615CFA">
      <w:pPr>
        <w:spacing w:line="480" w:lineRule="auto"/>
      </w:pPr>
      <w:r>
        <w:t xml:space="preserve">Beck, Charlotte.  </w:t>
      </w:r>
      <w:r>
        <w:rPr>
          <w:u w:val="single"/>
        </w:rPr>
        <w:t>The Fugitive Legacy: A Critical History</w:t>
      </w:r>
      <w:r>
        <w:t>.  Baton Rouge: LSU Press, 2001.</w:t>
      </w:r>
    </w:p>
    <w:p w:rsidR="00615CFA" w:rsidRDefault="00615CFA">
      <w:pPr>
        <w:spacing w:line="480" w:lineRule="auto"/>
      </w:pPr>
      <w:r>
        <w:t xml:space="preserve">Core, George.  “Remaking </w:t>
      </w:r>
      <w:r>
        <w:rPr>
          <w:i/>
        </w:rPr>
        <w:t>The</w:t>
      </w:r>
      <w:r>
        <w:t xml:space="preserve"> </w:t>
      </w:r>
      <w:r>
        <w:rPr>
          <w:i/>
        </w:rPr>
        <w:t>Sewanee Review</w:t>
      </w:r>
      <w:r>
        <w:t xml:space="preserve">.” </w:t>
      </w:r>
      <w:r>
        <w:rPr>
          <w:u w:val="single"/>
        </w:rPr>
        <w:t>Chattahoochee Review</w:t>
      </w:r>
      <w:r>
        <w:t xml:space="preserve"> 8 (1988): 71-7.</w:t>
      </w:r>
    </w:p>
    <w:p w:rsidR="00615CFA" w:rsidRDefault="00615CFA">
      <w:pPr>
        <w:pStyle w:val="Header"/>
        <w:tabs>
          <w:tab w:val="clear" w:pos="4320"/>
          <w:tab w:val="clear" w:pos="8640"/>
        </w:tabs>
        <w:spacing w:line="480" w:lineRule="auto"/>
      </w:pPr>
      <w:r>
        <w:t>---. “</w:t>
      </w:r>
      <w:r>
        <w:rPr>
          <w:i/>
        </w:rPr>
        <w:t>The Sewanee Review</w:t>
      </w:r>
      <w:r>
        <w:t xml:space="preserve">: A Critical and Editorial History.” Sewanee: University of the South </w:t>
      </w:r>
    </w:p>
    <w:p w:rsidR="00615CFA" w:rsidRDefault="00615CFA">
      <w:pPr>
        <w:pStyle w:val="Header"/>
        <w:tabs>
          <w:tab w:val="clear" w:pos="4320"/>
          <w:tab w:val="clear" w:pos="8640"/>
        </w:tabs>
        <w:spacing w:line="480" w:lineRule="auto"/>
        <w:ind w:firstLine="720"/>
      </w:pPr>
      <w:r>
        <w:t>Press, 2008.</w:t>
      </w:r>
    </w:p>
    <w:p w:rsidR="00615CFA" w:rsidRDefault="00615CFA">
      <w:pPr>
        <w:pStyle w:val="Header"/>
        <w:tabs>
          <w:tab w:val="clear" w:pos="4320"/>
          <w:tab w:val="clear" w:pos="8640"/>
        </w:tabs>
        <w:spacing w:line="480" w:lineRule="auto"/>
      </w:pPr>
      <w:r>
        <w:t xml:space="preserve">Fitzgerald, Sally. </w:t>
      </w:r>
      <w:r>
        <w:rPr>
          <w:u w:val="single"/>
        </w:rPr>
        <w:t>Flannery O’Connor: The Habit of Being</w:t>
      </w:r>
      <w:r>
        <w:t>.  New York: McGraw Hill, 1979.</w:t>
      </w:r>
    </w:p>
    <w:p w:rsidR="00615CFA" w:rsidRDefault="00615CFA">
      <w:pPr>
        <w:spacing w:line="480" w:lineRule="auto"/>
      </w:pPr>
      <w:r>
        <w:t xml:space="preserve">Janssens, G.A.M. </w:t>
      </w:r>
      <w:r>
        <w:rPr>
          <w:u w:val="single"/>
        </w:rPr>
        <w:t>The American Literary Review: A Critical History, 1920-1950</w:t>
      </w:r>
      <w:r>
        <w:t xml:space="preserve">. The Hague: </w:t>
      </w:r>
    </w:p>
    <w:p w:rsidR="00615CFA" w:rsidRDefault="00615CFA">
      <w:pPr>
        <w:pStyle w:val="Header"/>
        <w:tabs>
          <w:tab w:val="clear" w:pos="4320"/>
          <w:tab w:val="clear" w:pos="8640"/>
        </w:tabs>
        <w:spacing w:line="480" w:lineRule="auto"/>
        <w:ind w:firstLine="720"/>
      </w:pPr>
      <w:r>
        <w:t>Mouton, 1968.</w:t>
      </w:r>
    </w:p>
    <w:p w:rsidR="00615CFA" w:rsidRDefault="00615CFA">
      <w:pPr>
        <w:pStyle w:val="Header"/>
        <w:tabs>
          <w:tab w:val="clear" w:pos="4320"/>
          <w:tab w:val="clear" w:pos="8640"/>
        </w:tabs>
        <w:spacing w:line="480" w:lineRule="auto"/>
      </w:pPr>
      <w:r>
        <w:t xml:space="preserve">Leatherman, Leroy. “The Enchanted Bull.” </w:t>
      </w:r>
      <w:r>
        <w:rPr>
          <w:u w:val="single"/>
        </w:rPr>
        <w:t>Sewanee Review</w:t>
      </w:r>
      <w:r>
        <w:t xml:space="preserve"> 51 (1943): 104-20.</w:t>
      </w:r>
    </w:p>
    <w:p w:rsidR="00615CFA" w:rsidRDefault="00615CFA">
      <w:pPr>
        <w:pStyle w:val="Header"/>
        <w:tabs>
          <w:tab w:val="clear" w:pos="4320"/>
          <w:tab w:val="clear" w:pos="8640"/>
        </w:tabs>
        <w:spacing w:line="480" w:lineRule="auto"/>
      </w:pPr>
      <w:r>
        <w:t xml:space="preserve">---.  letter to Andrew Lytle. 15 June 1943.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spacing w:line="480" w:lineRule="auto"/>
      </w:pPr>
      <w:r>
        <w:t xml:space="preserve">---..  letter to </w:t>
      </w:r>
      <w:r w:rsidR="00AA4D4D">
        <w:t>Allen</w:t>
      </w:r>
      <w:r>
        <w:t xml:space="preserve"> Tate. 23 August 1945. Sewanee Archives.  Jessie </w:t>
      </w:r>
    </w:p>
    <w:p w:rsidR="00615CFA" w:rsidRDefault="00615CFA">
      <w:pPr>
        <w:spacing w:line="480" w:lineRule="auto"/>
        <w:ind w:firstLine="720"/>
      </w:pPr>
      <w:r>
        <w:t>Ball DuPont Library, The University of the South, Sewanee.</w:t>
      </w:r>
    </w:p>
    <w:p w:rsidR="00615CFA" w:rsidRDefault="00615CFA">
      <w:pPr>
        <w:pStyle w:val="Header"/>
        <w:tabs>
          <w:tab w:val="clear" w:pos="4320"/>
          <w:tab w:val="clear" w:pos="8640"/>
        </w:tabs>
        <w:spacing w:line="480" w:lineRule="auto"/>
      </w:pPr>
      <w:r>
        <w:t xml:space="preserve">---..  letter to Andrew Lytle. 10 June 1946.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11 April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12 May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rsidR="00615CFA" w:rsidRDefault="00615CFA">
      <w:pPr>
        <w:pStyle w:val="Header"/>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With the Private </w:t>
      </w:r>
    </w:p>
    <w:p w:rsidR="00615CFA" w:rsidRDefault="00615CFA">
      <w:pPr>
        <w:pStyle w:val="Header"/>
        <w:tabs>
          <w:tab w:val="clear" w:pos="4320"/>
          <w:tab w:val="clear" w:pos="8640"/>
        </w:tabs>
        <w:spacing w:line="480" w:lineRule="auto"/>
        <w:ind w:firstLine="720"/>
      </w:pPr>
      <w:r>
        <w:rPr>
          <w:u w:val="single"/>
        </w:rPr>
        <w:t>Parts</w:t>
      </w:r>
      <w:r>
        <w:t xml:space="preserve">. Baton Rouge: LSU Press, 1966. 193-201.  </w:t>
      </w:r>
    </w:p>
    <w:p w:rsidR="00615CFA" w:rsidRDefault="00615CFA">
      <w:pPr>
        <w:pStyle w:val="Header"/>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rsidR="00615CFA" w:rsidRDefault="00615CFA">
      <w:pPr>
        <w:spacing w:line="480" w:lineRule="auto"/>
        <w:ind w:firstLine="720"/>
      </w:pPr>
      <w:r>
        <w:rPr>
          <w:u w:val="single"/>
        </w:rPr>
        <w:lastRenderedPageBreak/>
        <w:t>Disorder</w:t>
      </w:r>
      <w:r>
        <w:t>.  Baton Rouge: LSU Press. 1988. 3-19.</w:t>
      </w:r>
    </w:p>
    <w:p w:rsidR="00615CFA" w:rsidRDefault="00615CFA">
      <w:pPr>
        <w:spacing w:line="480" w:lineRule="auto"/>
      </w:pPr>
      <w:r>
        <w:t xml:space="preserve">---. </w:t>
      </w:r>
      <w:r>
        <w:rPr>
          <w:color w:val="000000"/>
        </w:rPr>
        <w:t xml:space="preserve">"Some of the Steps Necessary in Publishing a Quarterly Literary </w:t>
      </w:r>
      <w:r>
        <w:t xml:space="preserve">Magazine."   </w:t>
      </w:r>
    </w:p>
    <w:p w:rsidR="00615CFA" w:rsidRDefault="00615CFA">
      <w:pPr>
        <w:spacing w:line="480" w:lineRule="auto"/>
        <w:ind w:left="720"/>
      </w:pPr>
      <w:r>
        <w:t>memo. Andrew Nelson Lytle Papers. Jean and Alexander Heard Library, Vanderbilt University, Nashville.</w:t>
      </w:r>
    </w:p>
    <w:p w:rsidR="00615CFA" w:rsidRDefault="00615CFA">
      <w:pPr>
        <w:pStyle w:val="Header"/>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rsidR="00615CFA" w:rsidRDefault="00615CFA">
      <w:pPr>
        <w:pStyle w:val="Header"/>
        <w:tabs>
          <w:tab w:val="clear" w:pos="4320"/>
          <w:tab w:val="clear" w:pos="8640"/>
        </w:tabs>
        <w:spacing w:line="480" w:lineRule="auto"/>
        <w:ind w:firstLine="720"/>
      </w:pPr>
      <w:r>
        <w:rPr>
          <w:u w:val="single"/>
        </w:rPr>
        <w:t>of Disorder</w:t>
      </w:r>
      <w:r>
        <w:t xml:space="preserve">.  Baton Rouge: LSU Press. 1988. 3-19. </w:t>
      </w:r>
    </w:p>
    <w:p w:rsidR="00615CFA" w:rsidRDefault="00615CFA">
      <w:pPr>
        <w:spacing w:line="480" w:lineRule="auto"/>
      </w:pPr>
      <w:r>
        <w:t xml:space="preserve">---.  letter to Flannery O’Connor. 2 September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November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7 December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January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8 November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8 October 1968.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O’Connor, Flannery.  letter to John Palmer. 7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Andrew Lytle. 28 May 1962.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Andrew Lytle. 8 August 1962. Sewanee Archives.  Jessie Ball </w:t>
      </w:r>
    </w:p>
    <w:p w:rsidR="00615CFA" w:rsidRDefault="00615CFA">
      <w:pPr>
        <w:spacing w:line="480" w:lineRule="auto"/>
        <w:ind w:firstLine="720"/>
      </w:pPr>
      <w:r>
        <w:lastRenderedPageBreak/>
        <w:t>DuPont Library, The University of the South, Sewanee.</w:t>
      </w:r>
    </w:p>
    <w:p w:rsidR="00615CFA" w:rsidRDefault="00615CFA">
      <w:pPr>
        <w:spacing w:line="480" w:lineRule="auto"/>
      </w:pPr>
      <w:r>
        <w:t xml:space="preserve">---.  letter to Andrew Lytle. 12 December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Palmer, John.  letter to Flannery O’Connor. 9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Leroy Leatherman. 26 April 1950.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rPr>
          <w:u w:val="single"/>
        </w:rPr>
        <w:t>Sewanee Review</w:t>
      </w:r>
      <w:r>
        <w:t xml:space="preserve"> Inclusive Volumes (1942-4) (1961-73).</w:t>
      </w:r>
    </w:p>
    <w:p w:rsidR="00615CFA" w:rsidRDefault="00615CFA">
      <w:pPr>
        <w:spacing w:line="480" w:lineRule="auto"/>
      </w:pPr>
      <w:r>
        <w:t xml:space="preserve">Tate, Allen. “The Function of the Critical Quarterly.” </w:t>
      </w:r>
      <w:r>
        <w:rPr>
          <w:u w:val="single"/>
        </w:rPr>
        <w:t>On the Limits of Poetry</w:t>
      </w:r>
      <w:r>
        <w:t xml:space="preserve">.  Freeport: Books </w:t>
      </w:r>
    </w:p>
    <w:p w:rsidR="00615CFA" w:rsidRDefault="00615CFA">
      <w:pPr>
        <w:spacing w:line="480" w:lineRule="auto"/>
        <w:ind w:firstLine="720"/>
      </w:pPr>
      <w:r>
        <w:t xml:space="preserve">for Libraries Press, 1970. </w:t>
      </w:r>
    </w:p>
    <w:p w:rsidR="00615CFA" w:rsidRDefault="00615CFA">
      <w:pPr>
        <w:spacing w:line="480" w:lineRule="auto"/>
      </w:pPr>
      <w:r>
        <w:t xml:space="preserve">---.  letter to Leroy Leatherman. 30 November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16 December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Van Ness, Gordon. </w:t>
      </w:r>
      <w:r>
        <w:rPr>
          <w:u w:val="single"/>
        </w:rPr>
        <w:t>The One Voice of James Dickey: His Letters and Life, 1942-1969</w:t>
      </w:r>
      <w:r>
        <w:t xml:space="preserve">.  </w:t>
      </w:r>
    </w:p>
    <w:p w:rsidR="00615CFA" w:rsidRDefault="00615CFA">
      <w:pPr>
        <w:spacing w:line="480" w:lineRule="auto"/>
        <w:ind w:firstLine="720"/>
      </w:pPr>
      <w:r>
        <w:t>Columbia: University of Missouri Press, 2003.</w:t>
      </w:r>
    </w:p>
    <w:p w:rsidR="00615CFA" w:rsidRDefault="00615CFA">
      <w:pPr>
        <w:spacing w:line="480" w:lineRule="auto"/>
      </w:pPr>
      <w:r>
        <w:t xml:space="preserve">Young, Thomas and George Core, ed.  </w:t>
      </w:r>
      <w:r>
        <w:rPr>
          <w:u w:val="single"/>
        </w:rPr>
        <w:t>Selected Letters of John Crowe Ransom</w:t>
      </w:r>
      <w:r>
        <w:t xml:space="preserve">.  Baton Rouge: </w:t>
      </w:r>
    </w:p>
    <w:p w:rsidR="00615CFA" w:rsidRDefault="00615CFA">
      <w:pPr>
        <w:spacing w:line="480" w:lineRule="auto"/>
        <w:ind w:firstLine="720"/>
      </w:pPr>
      <w:r>
        <w:t>LSU Press, 1985.</w:t>
      </w:r>
    </w:p>
    <w:p w:rsidR="00615CFA" w:rsidRDefault="00615CFA">
      <w:pPr>
        <w:spacing w:line="480" w:lineRule="auto"/>
        <w:rPr>
          <w:u w:val="single"/>
        </w:rPr>
      </w:pPr>
      <w:r>
        <w:t xml:space="preserve">Young, Thomas and Elizabeth Sarcone, ed. </w:t>
      </w:r>
      <w:r>
        <w:rPr>
          <w:u w:val="single"/>
        </w:rPr>
        <w:t xml:space="preserve">The Lytle-Tate Letters: The Correspondence of </w:t>
      </w:r>
    </w:p>
    <w:p w:rsidR="00615CFA" w:rsidRDefault="00615CFA">
      <w:pPr>
        <w:spacing w:line="480" w:lineRule="auto"/>
        <w:ind w:firstLine="720"/>
      </w:pPr>
      <w:r>
        <w:rPr>
          <w:u w:val="single"/>
        </w:rPr>
        <w:t>Andrew Lytle and Allen Tate</w:t>
      </w:r>
      <w:r>
        <w:t>. Jackson: University of Mississippi Press, 1987.</w:t>
      </w:r>
    </w:p>
    <w:p w:rsidR="00615CFA" w:rsidRDefault="00615CFA">
      <w:pPr>
        <w:pStyle w:val="BodyText"/>
        <w:spacing w:line="480" w:lineRule="auto"/>
        <w:jc w:val="left"/>
      </w:pPr>
    </w:p>
    <w:sectPr w:rsidR="00615CFA" w:rsidSect="009259EF">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E3E" w:rsidRDefault="00525E3E">
      <w:r>
        <w:separator/>
      </w:r>
    </w:p>
  </w:endnote>
  <w:endnote w:type="continuationSeparator" w:id="0">
    <w:p w:rsidR="00525E3E" w:rsidRDefault="0052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9B3" w:rsidRPr="009259EF" w:rsidRDefault="009259EF" w:rsidP="009259EF">
    <w:pPr>
      <w:pStyle w:val="Footer"/>
      <w:tabs>
        <w:tab w:val="clear" w:pos="4320"/>
        <w:tab w:val="clear" w:pos="8640"/>
        <w:tab w:val="center" w:pos="4680"/>
      </w:tabs>
      <w:rPr>
        <w:sz w:val="28"/>
        <w:szCs w:val="28"/>
      </w:rPr>
    </w:pPr>
    <w:r>
      <w:rPr>
        <w:noProof/>
        <w:sz w:val="28"/>
        <w:szCs w:val="28"/>
      </w:rPr>
      <w:tab/>
    </w:r>
    <w:r w:rsidRPr="009259EF">
      <w:rPr>
        <w:noProof/>
        <w:sz w:val="28"/>
        <w:szCs w:val="28"/>
      </w:rPr>
      <w:fldChar w:fldCharType="begin"/>
    </w:r>
    <w:r w:rsidRPr="009259EF">
      <w:rPr>
        <w:noProof/>
        <w:sz w:val="28"/>
        <w:szCs w:val="28"/>
      </w:rPr>
      <w:instrText xml:space="preserve"> PAGE   \* MERGEFORMAT </w:instrText>
    </w:r>
    <w:r w:rsidRPr="009259EF">
      <w:rPr>
        <w:noProof/>
        <w:sz w:val="28"/>
        <w:szCs w:val="28"/>
      </w:rPr>
      <w:fldChar w:fldCharType="separate"/>
    </w:r>
    <w:r w:rsidR="0048179C">
      <w:rPr>
        <w:noProof/>
        <w:sz w:val="28"/>
        <w:szCs w:val="28"/>
      </w:rPr>
      <w:t>2</w:t>
    </w:r>
    <w:r w:rsidRPr="009259EF">
      <w:rPr>
        <w:noProof/>
        <w:sz w:val="28"/>
        <w:szCs w:val="28"/>
      </w:rPr>
      <w:fldChar w:fldCharType="end"/>
    </w:r>
    <w:r>
      <w:rPr>
        <w:noProof/>
        <w:sz w:val="28"/>
        <w:szCs w:val="28"/>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E3E" w:rsidRDefault="00525E3E">
      <w:r>
        <w:separator/>
      </w:r>
    </w:p>
  </w:footnote>
  <w:footnote w:type="continuationSeparator" w:id="0">
    <w:p w:rsidR="00525E3E" w:rsidRDefault="00525E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EF" w:rsidRDefault="009259EF" w:rsidP="005D67F7">
    <w:pPr>
      <w:pStyle w:val="Header"/>
      <w:tabs>
        <w:tab w:val="clear" w:pos="4320"/>
        <w:tab w:val="center" w:pos="4680"/>
      </w:tabs>
    </w:pPr>
    <w:r>
      <w:t>William Fisher</w:t>
    </w:r>
    <w:r>
      <w:tab/>
    </w:r>
    <w:r>
      <w:tab/>
      <w:t>LIT 489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5E" w:rsidRDefault="000D295E">
    <w:pPr>
      <w:pStyle w:val="Header"/>
    </w:pPr>
    <w:r>
      <w:t>William Fisher</w:t>
    </w:r>
    <w:r w:rsidR="009259EF">
      <w:tab/>
    </w:r>
    <w:r w:rsidR="009259EF">
      <w:tab/>
      <w:t>LIT 489</w:t>
    </w:r>
  </w:p>
  <w:p w:rsidR="009259EF" w:rsidRDefault="009259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C9"/>
    <w:rsid w:val="0000354B"/>
    <w:rsid w:val="000053E3"/>
    <w:rsid w:val="0002301C"/>
    <w:rsid w:val="00031777"/>
    <w:rsid w:val="00073DCC"/>
    <w:rsid w:val="00081878"/>
    <w:rsid w:val="000D295E"/>
    <w:rsid w:val="00111A27"/>
    <w:rsid w:val="00161DA4"/>
    <w:rsid w:val="001A631A"/>
    <w:rsid w:val="001C429F"/>
    <w:rsid w:val="00237BC5"/>
    <w:rsid w:val="00256816"/>
    <w:rsid w:val="00260797"/>
    <w:rsid w:val="002918BC"/>
    <w:rsid w:val="002B38D1"/>
    <w:rsid w:val="002C5C73"/>
    <w:rsid w:val="002F2339"/>
    <w:rsid w:val="00326D56"/>
    <w:rsid w:val="0034690E"/>
    <w:rsid w:val="00387734"/>
    <w:rsid w:val="00391C02"/>
    <w:rsid w:val="00427781"/>
    <w:rsid w:val="004423A0"/>
    <w:rsid w:val="00443B21"/>
    <w:rsid w:val="004753FB"/>
    <w:rsid w:val="0048179C"/>
    <w:rsid w:val="00495F93"/>
    <w:rsid w:val="004C1474"/>
    <w:rsid w:val="00525E3E"/>
    <w:rsid w:val="005559B3"/>
    <w:rsid w:val="00564382"/>
    <w:rsid w:val="005A58C8"/>
    <w:rsid w:val="005D67F7"/>
    <w:rsid w:val="00603C33"/>
    <w:rsid w:val="0060737E"/>
    <w:rsid w:val="00615CFA"/>
    <w:rsid w:val="00634854"/>
    <w:rsid w:val="006734D2"/>
    <w:rsid w:val="0069210E"/>
    <w:rsid w:val="00692D5F"/>
    <w:rsid w:val="00695263"/>
    <w:rsid w:val="00727E09"/>
    <w:rsid w:val="00736C76"/>
    <w:rsid w:val="00794A9B"/>
    <w:rsid w:val="007F53FE"/>
    <w:rsid w:val="00830D44"/>
    <w:rsid w:val="008314E0"/>
    <w:rsid w:val="0083353C"/>
    <w:rsid w:val="00836B12"/>
    <w:rsid w:val="0085569C"/>
    <w:rsid w:val="008C2DDF"/>
    <w:rsid w:val="00910338"/>
    <w:rsid w:val="00916F91"/>
    <w:rsid w:val="009259EF"/>
    <w:rsid w:val="009445E8"/>
    <w:rsid w:val="0095021B"/>
    <w:rsid w:val="009678A6"/>
    <w:rsid w:val="009A10C9"/>
    <w:rsid w:val="009B7754"/>
    <w:rsid w:val="009F1C42"/>
    <w:rsid w:val="00A102FE"/>
    <w:rsid w:val="00AA280D"/>
    <w:rsid w:val="00AA4D4D"/>
    <w:rsid w:val="00AA69BF"/>
    <w:rsid w:val="00AE7C0F"/>
    <w:rsid w:val="00B36251"/>
    <w:rsid w:val="00B64440"/>
    <w:rsid w:val="00C71D60"/>
    <w:rsid w:val="00C80B7A"/>
    <w:rsid w:val="00CB0001"/>
    <w:rsid w:val="00D51F59"/>
    <w:rsid w:val="00D906EA"/>
    <w:rsid w:val="00DA3045"/>
    <w:rsid w:val="00DA402A"/>
    <w:rsid w:val="00DB5667"/>
    <w:rsid w:val="00E07A89"/>
    <w:rsid w:val="00E4243C"/>
    <w:rsid w:val="00ED2CB0"/>
    <w:rsid w:val="00F22ACD"/>
    <w:rsid w:val="00F348AB"/>
    <w:rsid w:val="00F60251"/>
    <w:rsid w:val="00F63002"/>
    <w:rsid w:val="00FA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F7396"/>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348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A3418-FF64-443E-AD5D-B3FC00775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8838</Words>
  <Characters>50378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A. Lytle at The Sewanee Revi</vt:lpstr>
    </vt:vector>
  </TitlesOfParts>
  <Company>Lion's Roar</Company>
  <LinksUpToDate>false</LinksUpToDate>
  <CharactersWithSpaces>59098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Lytle at The Sewanee Revi</dc:title>
  <dc:subject/>
  <dc:creator>Bill Fisher</dc:creator>
  <cp:keywords/>
  <cp:lastModifiedBy>S Screencaster</cp:lastModifiedBy>
  <cp:revision>4</cp:revision>
  <dcterms:created xsi:type="dcterms:W3CDTF">2016-01-05T14:03:00Z</dcterms:created>
  <dcterms:modified xsi:type="dcterms:W3CDTF">2016-01-26T16:08:00Z</dcterms:modified>
</cp:coreProperties>
</file>