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Ильинский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text)</w:t>
      </w:r>
      <w:r>
        <w:br/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</w:t>
      </w:r>
      <w:r>
        <w:br/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</w:t>
      </w:r>
      <w:r>
        <w:br/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</w:t>
      </w:r>
      <w:r>
        <w:br/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(new_text)):</w:t>
      </w:r>
      <w:r>
        <w:br/>
      </w:r>
      <w:r>
        <w:rPr>
          <w:rStyle w:val="NormalTok"/>
        </w:rPr>
        <w:t xml:space="preserve">        xor_text.append(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в 16-ой системе: "</w:t>
      </w:r>
      <w:r>
        <w:rPr>
          <w:rStyle w:val="NormalTok"/>
        </w:rPr>
        <w:t xml:space="preserve">, xor_text)</w:t>
      </w:r>
      <w:r>
        <w:br/>
      </w:r>
      <w:r>
        <w:br/>
      </w:r>
      <w:r>
        <w:rPr>
          <w:rStyle w:val="NormalTok"/>
        </w:rPr>
        <w:t xml:space="preserve">    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xor_text, en_text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find_key(text, en_text):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en_text:</w:t>
      </w:r>
      <w:r>
        <w:br/>
      </w:r>
      <w:r>
        <w:rPr>
          <w:rStyle w:val="NormalTok"/>
        </w:rPr>
        <w:t xml:space="preserve">        tmp_text.append(i.encode(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текст в 16-ой системе: "</w:t>
      </w:r>
      <w:r>
        <w:rPr>
          <w:rStyle w:val="NormalTok"/>
        </w:rPr>
        <w:t xml:space="preserve">, tmp_text)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(new_text, tmp_text)]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Найденный ключ в 16-ой системе: "</w:t>
      </w:r>
      <w:r>
        <w:rPr>
          <w:rStyle w:val="NormalTok"/>
        </w:rPr>
        <w:t xml:space="preserve">, xor_text)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br/>
      </w:r>
      <w:r>
        <w:rPr>
          <w:rStyle w:val="NormalTok"/>
        </w:rPr>
        <w:t xml:space="preserve">k, t, 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encryption(s)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find_key(s, et)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найден верно"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найден неверно"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Результаты работы программы:</w:t>
      </w:r>
    </w:p>
    <w:p>
      <w:pPr>
        <w:pStyle w:val="CaptionedFigure"/>
      </w:pPr>
      <w:bookmarkStart w:id="26" w:name="fig:001"/>
      <w:r>
        <w:drawing>
          <wp:inline>
            <wp:extent cx="5334000" cy="723526"/>
            <wp:effectExtent b="0" l="0" r="0" t="0"/>
            <wp:docPr descr="Вывод функции encryption" title="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Вывод функции encryption</w:t>
      </w:r>
    </w:p>
    <w:p>
      <w:pPr>
        <w:pStyle w:val="CaptionedFigure"/>
      </w:pPr>
      <w:bookmarkStart w:id="30" w:name="fig:002"/>
      <w:r>
        <w:drawing>
          <wp:inline>
            <wp:extent cx="5334000" cy="682816"/>
            <wp:effectExtent b="0" l="0" r="0" t="0"/>
            <wp:docPr descr="Вывод функции decryption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Вывод функции decryption</w:t>
      </w:r>
    </w:p>
    <w:p>
      <w:pPr>
        <w:pStyle w:val="CaptionedFigure"/>
      </w:pPr>
      <w:bookmarkStart w:id="34" w:name="fig:003"/>
      <w:r>
        <w:drawing>
          <wp:inline>
            <wp:extent cx="4013734" cy="1472665"/>
            <wp:effectExtent b="0" l="0" r="0" t="0"/>
            <wp:docPr descr="Проверка полученного ключа" title="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полученного ключа</w:t>
      </w:r>
    </w:p>
    <w:bookmarkEnd w:id="35"/>
    <w:bookmarkStart w:id="3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  <w:r>
        <w:t xml:space="preserve"> </w:t>
      </w: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2"/>
        </w:numPr>
        <w:pStyle w:val="Compact"/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Во-первых, такой способ симметричен, т.е. двойное прибавление одной и той же величины по модулю 2 восстанавливает исходное значение.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2"/>
        </w:numPr>
        <w:pStyle w:val="Compact"/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2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2"/>
        </w:numPr>
        <w:pStyle w:val="Compact"/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В таком случае задача сводится к правилу: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>
      <w:pPr>
        <w:numPr>
          <w:ilvl w:val="0"/>
          <w:numId w:val="1002"/>
        </w:numPr>
        <w:pStyle w:val="Compact"/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шифра:</w:t>
      </w:r>
    </w:p>
    <w:p>
      <w:pPr>
        <w:numPr>
          <w:ilvl w:val="1"/>
          <w:numId w:val="1003"/>
        </w:numPr>
        <w:pStyle w:val="Compact"/>
      </w:pPr>
      <w:r>
        <w:t xml:space="preserve">полная случайность ключа;</w:t>
      </w:r>
    </w:p>
    <w:p>
      <w:pPr>
        <w:numPr>
          <w:ilvl w:val="1"/>
          <w:numId w:val="1003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1"/>
          <w:numId w:val="1003"/>
        </w:numPr>
        <w:pStyle w:val="Compact"/>
      </w:pPr>
      <w:r>
        <w:t xml:space="preserve">однократное использование ключа.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освоил на практике применение режима однократного гаммирования.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Кулябов Д.С., Королькова А.В., Геворкян М.Н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№7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38" Target="https://esystem.rudn.ru/pluginfile.php/1651757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pluginfile.php/1651757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Ильинский Арсений Александрович</dc:creator>
  <dc:language>ru-Ru</dc:language>
  <cp:keywords/>
  <dcterms:created xsi:type="dcterms:W3CDTF">2022-10-22T18:12:04Z</dcterms:created>
  <dcterms:modified xsi:type="dcterms:W3CDTF">2022-10-22T18:12:04Z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