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Style w:val="Title"/>
        <w:jc w:val="center"/>
      </w:pPr>
      <w:r>
        <w:t xml:space="preserve">Fixer Nation — Test Plan</w:t>
      </w:r>
    </w:p>
    <w:p>
      <w:pPr>
        <w:spacing w:after="800" w:before="200"/>
        <w:jc w:val="center"/>
      </w:pPr>
      <w:r>
        <w:rPr>
          <w:color w:val="555555"/>
          <w:sz w:val="28"/>
          <w:szCs w:val="28"/>
        </w:rPr>
        <w:t xml:space="preserve">fixernation.org QA &amp; Testing Strategy</w:t>
      </w:r>
    </w:p>
    <w:p>
      <w:pPr>
        <w:spacing w:after="100"/>
        <w:jc w:val="center"/>
      </w:pPr>
      <w:r>
        <w:rPr>
          <w:sz w:val="24"/>
          <w:szCs w:val="24"/>
        </w:rPr>
        <w:t xml:space="preserve">Version v1.0</w:t>
      </w:r>
    </w:p>
    <w:p>
      <w:pPr>
        <w:jc w:val="center"/>
      </w:pPr>
      <w:r>
        <w:rPr>
          <w:sz w:val="24"/>
          <w:szCs w:val="24"/>
        </w:rPr>
        <w:t xml:space="preserve">August 20, 2026</w:t>
      </w:r>
    </w:p>
    <w:p>
      <w:r>
        <w:br w:type="page"/>
      </w:r>
    </w:p>
    <w:p>
      <w:pPr>
        <w:pStyle w:val="Heading1"/>
      </w:pPr>
      <w:r>
        <w:t xml:space="preserve">1. Introduction &amp; Purpose</w:t>
      </w:r>
    </w:p>
    <w:p>
      <w:pPr>
        <w:spacing w:after="200"/>
      </w:pPr>
      <w:r>
        <w:t xml:space="preserve">This document describes the testing approach for fixernation.org, a Next.js 15 consumer membership platform built on Vercel, Neon Postgres, and Cloudinary. It defines the strategy and methodology behind how the platform is verified — not the individual test cases themselves, which live in a separate, itemized tracker.</w:t>
      </w:r>
    </w:p>
    <w:p>
      <w:pPr>
        <w:spacing w:after="200"/>
      </w:pPr>
      <w:r>
        <w:t xml:space="preserve">It is one of four companion documents. FixerNation_User_Guide.docx and FixerNation_Admin_Guide.docx are manual, step-by-step walkthrough guides for a human tester to follow. FixerNation_Test_Cases.docx is the itemized test case tracker that enumerates specific scenarios. This document sits above all three, explaining the overall approach, scope, environment, and conventions that tie them together.</w:t>
      </w:r>
    </w:p>
    <w:p>
      <w:pPr>
        <w:pBdr>
          <w:bottom w:val="single" w:color="999999" w:sz="6" w:space="1"/>
        </w:pBdr>
        <w:spacing w:after="300"/>
      </w:pPr>
    </w:p>
    <w:p>
      <w:pPr>
        <w:pStyle w:val="Heading1"/>
      </w:pPr>
      <w:r>
        <w:t xml:space="preserve">2. Scope</w:t>
      </w:r>
    </w:p>
    <w:p>
      <w:pPr>
        <w:pStyle w:val="Heading2"/>
      </w:pPr>
      <w:r>
        <w:t xml:space="preserve">In Scope</w:t>
      </w:r>
    </w:p>
    <w:p>
      <w:pPr>
        <w:spacing w:after="200"/>
      </w:pPr>
      <w:r>
        <w:t xml:space="preserve">The following areas of fixernation.org are covered by this test plan and its associated test cases:</w:t>
      </w:r>
    </w:p>
    <w:p>
      <w:pPr>
        <w:pStyle w:val="ListParagraph"/>
        <w:numPr>
          <w:ilvl w:val="0"/>
          <w:numId w:val="2"/>
        </w:numPr>
      </w:pPr>
      <w:r>
        <w:t xml:space="preserve">All public pages</w:t>
      </w:r>
    </w:p>
    <w:p>
      <w:pPr>
        <w:pStyle w:val="ListParagraph"/>
        <w:numPr>
          <w:ilvl w:val="0"/>
          <w:numId w:val="2"/>
        </w:numPr>
      </w:pPr>
      <w:r>
        <w:t xml:space="preserve">Authentication: registration, email verification, sign-in, forgot-password, and multi-factor authentication (MFA)</w:t>
      </w:r>
    </w:p>
    <w:p>
      <w:pPr>
        <w:pStyle w:val="ListParagraph"/>
        <w:numPr>
          <w:ilvl w:val="0"/>
          <w:numId w:val="2"/>
        </w:numPr>
      </w:pPr>
      <w:r>
        <w:t xml:space="preserve">Member account features</w:t>
      </w:r>
    </w:p>
    <w:p>
      <w:pPr>
        <w:pStyle w:val="ListParagraph"/>
        <w:numPr>
          <w:ilvl w:val="0"/>
          <w:numId w:val="2"/>
        </w:numPr>
      </w:pPr>
      <w:r>
        <w:t xml:space="preserve">Service-provider and brand-ambassador features</w:t>
      </w:r>
    </w:p>
    <w:p>
      <w:pPr>
        <w:pStyle w:val="ListParagraph"/>
        <w:numPr>
          <w:ilvl w:val="0"/>
          <w:numId w:val="2"/>
        </w:numPr>
      </w:pPr>
      <w:r>
        <w:t xml:space="preserve">The FN Network: groups, messages, and the members directory</w:t>
      </w:r>
    </w:p>
    <w:p>
      <w:pPr>
        <w:pStyle w:val="ListParagraph"/>
        <w:numPr>
          <w:ilvl w:val="0"/>
          <w:numId w:val="2"/>
        </w:numPr>
      </w:pPr>
      <w:r>
        <w:t xml:space="preserve">The personal-growth suite: Focus &amp; Goals, My Plan, Growth Pathways, Fixer Challenges, Daily Check-In, Reflections, My Progress, Issue Topics, and the Personalized Home</w:t>
      </w:r>
    </w:p>
    <w:p>
      <w:pPr>
        <w:pStyle w:val="ListParagraph"/>
        <w:numPr>
          <w:ilvl w:val="0"/>
          <w:numId w:val="2"/>
        </w:numPr>
      </w:pPr>
      <w:r>
        <w:t xml:space="preserve">The full admin backend: content authoring for the blog, resources, morning boost, pathways, and challenges; user management; the suppression list; custom fields; newsletter topics; the CRM/campaign builder; and affiliate/commission management</w:t>
      </w:r>
    </w:p>
    <w:p>
      <w:pPr>
        <w:pStyle w:val="Heading2"/>
      </w:pPr>
      <w:r>
        <w:t xml:space="preserve">Out of Scope (for automated e2e coverage, at this time)</w:t>
      </w:r>
    </w:p>
    <w:p>
      <w:pPr>
        <w:spacing w:after="200"/>
      </w:pPr>
      <w:r>
        <w:t xml:space="preserve">The following areas are explicitly not covered by the automated Playwright suite as of this writing:</w:t>
      </w:r>
    </w:p>
    <w:p>
      <w:pPr>
        <w:pStyle w:val="ListParagraph"/>
        <w:numPr>
          <w:ilvl w:val="0"/>
          <w:numId w:val="2"/>
        </w:numPr>
      </w:pPr>
      <w:r>
        <w:t xml:space="preserve">The admin applications review funnel</w:t>
      </w:r>
    </w:p>
    <w:p>
      <w:pPr>
        <w:pStyle w:val="ListParagraph"/>
        <w:numPr>
          <w:ilvl w:val="0"/>
          <w:numId w:val="2"/>
        </w:numPr>
      </w:pPr>
      <w:r>
        <w:t xml:space="preserve">Stripe billing and payments</w:t>
      </w:r>
    </w:p>
    <w:p>
      <w:pPr>
        <w:pStyle w:val="ListParagraph"/>
        <w:numPr>
          <w:ilvl w:val="0"/>
          <w:numId w:val="2"/>
        </w:numPr>
      </w:pPr>
      <w:r>
        <w:t xml:space="preserve">Browser push notification campaigns</w:t>
      </w:r>
    </w:p>
    <w:p>
      <w:pPr>
        <w:pStyle w:val="ListParagraph"/>
        <w:numPr>
          <w:ilvl w:val="0"/>
          <w:numId w:val="2"/>
        </w:numPr>
      </w:pPr>
      <w:r>
        <w:t xml:space="preserve">Content-gating behavior variations across signed-out, signed-in, and member states</w:t>
      </w:r>
    </w:p>
    <w:p>
      <w:pPr>
        <w:spacing w:after="200"/>
      </w:pPr>
      <w:r>
        <w:t xml:space="preserve">These areas should either be tested manually per the User Guide and Admin Guide, or added to automated coverage in a future pass.</w:t>
      </w:r>
    </w:p>
    <w:p>
      <w:pPr>
        <w:pBdr>
          <w:bottom w:val="single" w:color="999999" w:sz="6" w:space="1"/>
        </w:pBdr>
        <w:spacing w:after="300"/>
      </w:pPr>
    </w:p>
    <w:p>
      <w:pPr>
        <w:pStyle w:val="Heading1"/>
      </w:pPr>
      <w:r>
        <w:t xml:space="preserve">3. Test Environment</w:t>
      </w:r>
    </w:p>
    <w:p>
      <w:pPr>
        <w:spacing w:after="200"/>
      </w:pPr>
      <w:r>
        <w:t xml:space="preserve">There is no local development environment for this project. All testing — manual and automated — runs directly against the live production deployment at https://fixernation.org. There is no staging environment.</w:t>
      </w:r>
    </w:p>
    <w:p>
      <w:pPr>
        <w:spacing w:after="200"/>
      </w:pPr>
      <w:r>
        <w:t xml:space="preserve">This is workable for three reasons:</w:t>
      </w:r>
    </w:p>
    <w:p>
      <w:pPr>
        <w:pStyle w:val="ListParagraph"/>
        <w:numPr>
          <w:ilvl w:val="0"/>
          <w:numId w:val="2"/>
        </w:numPr>
      </w:pPr>
      <w:r>
        <w:t xml:space="preserve">The automated suite signs in using dedicated QA test accounts, never real member data</w:t>
      </w:r>
    </w:p>
    <w:p>
      <w:pPr>
        <w:pStyle w:val="ListParagraph"/>
        <w:numPr>
          <w:ilvl w:val="0"/>
          <w:numId w:val="2"/>
        </w:numPr>
      </w:pPr>
      <w:r>
        <w:t xml:space="preserve">Every state-mutating test cleans up after itself or reverts what it changed</w:t>
      </w:r>
    </w:p>
    <w:p>
      <w:pPr>
        <w:pStyle w:val="ListParagraph"/>
        <w:numPr>
          <w:ilvl w:val="0"/>
          <w:numId w:val="2"/>
        </w:numPr>
      </w:pPr>
      <w:r>
        <w:t xml:space="preserve">Destructive admin actions performed by tests are scoped to disposable, throwaway records that are made unique per test run with a timestamp suffix</w:t>
      </w:r>
    </w:p>
    <w:p>
      <w:pPr>
        <w:pStyle w:val="Heading2"/>
      </w:pPr>
      <w:r>
        <w:t xml:space="preserve">Deployment Pipeline</w:t>
      </w:r>
    </w:p>
    <w:p>
      <w:pPr>
        <w:spacing w:after="200"/>
      </w:pPr>
      <w:r>
        <w:t xml:space="preserve">Commits pushed to the main branch on GitHub normally trigger an automatic Vercel deployment. This webhook has been observed to occasionally fail to fire — confirmed by checking GitHub's check-runs API and seeing zero runs recorded for a commit that should have triggered one. When that happens, running vercel --prod from the project directory deploys manually and serves as a reliable fallback.</w:t>
      </w:r>
    </w:p>
    <w:p>
      <w:pPr>
        <w:pBdr>
          <w:bottom w:val="single" w:color="999999" w:sz="6" w:space="1"/>
        </w:pBdr>
        <w:spacing w:after="300"/>
      </w:pPr>
    </w:p>
    <w:p>
      <w:pPr>
        <w:pStyle w:val="Heading1"/>
      </w:pPr>
      <w:r>
        <w:t xml:space="preserve">4. Test Approach — Two Layers</w:t>
      </w:r>
    </w:p>
    <w:p>
      <w:pPr>
        <w:pStyle w:val="Heading2"/>
      </w:pPr>
      <w:r>
        <w:t xml:space="preserve">Automated (Playwright e2e)</w:t>
      </w:r>
    </w:p>
    <w:p>
      <w:pPr>
        <w:spacing w:after="200"/>
      </w:pPr>
      <w:r>
        <w:t xml:space="preserve">The automated layer consists of 42 spec files and roughly 51 individual test cases as of this writing, located in tests/e2e/ and run via npx playwright test. Specs are written in TypeScript using Playwright's built-in test runner.</w:t>
      </w:r>
    </w:p>
    <w:p>
      <w:pPr>
        <w:spacing w:after="200"/>
      </w:pPr>
      <w:r>
        <w:t xml:space="preserve">Every spec signs in as one of several dedicated QA accounts — never a real member — using shared helpers in tests/e2e/helpers/auth.ts.</w:t>
      </w:r>
    </w:p>
    <w:p>
      <w:pPr>
        <w:spacing w:after="200"/>
      </w:pPr>
      <w:r>
        <w:t xml:space="preserve">The established run discipline for any change is:</w:t>
      </w:r>
    </w:p>
    <w:p>
      <w:pPr>
        <w:pStyle w:val="ListParagraph"/>
        <w:numPr>
          <w:ilvl w:val="0"/>
          <w:numId w:val="2"/>
        </w:numPr>
      </w:pPr>
      <w:r>
        <w:t xml:space="preserve">Write the new spec</w:t>
      </w:r>
    </w:p>
    <w:p>
      <w:pPr>
        <w:pStyle w:val="ListParagraph"/>
        <w:numPr>
          <w:ilvl w:val="0"/>
          <w:numId w:val="2"/>
        </w:numPr>
      </w:pPr>
      <w:r>
        <w:t xml:space="preserve">Run it in isolation at least twice to confirm it is not flaky</w:t>
      </w:r>
    </w:p>
    <w:p>
      <w:pPr>
        <w:pStyle w:val="ListParagraph"/>
        <w:numPr>
          <w:ilvl w:val="0"/>
          <w:numId w:val="2"/>
        </w:numPr>
      </w:pPr>
      <w:r>
        <w:t xml:space="preserve">Run the full suite locally</w:t>
      </w:r>
    </w:p>
    <w:p>
      <w:pPr>
        <w:pStyle w:val="ListParagraph"/>
        <w:numPr>
          <w:ilvl w:val="0"/>
          <w:numId w:val="2"/>
        </w:numPr>
      </w:pPr>
      <w:r>
        <w:t xml:space="preserve">Commit and push</w:t>
      </w:r>
    </w:p>
    <w:p>
      <w:pPr>
        <w:pStyle w:val="ListParagraph"/>
        <w:numPr>
          <w:ilvl w:val="0"/>
          <w:numId w:val="2"/>
        </w:numPr>
      </w:pPr>
      <w:r>
        <w:t xml:space="preserve">Wait for the deployment to complete</w:t>
      </w:r>
    </w:p>
    <w:p>
      <w:pPr>
        <w:pStyle w:val="ListParagraph"/>
        <w:numPr>
          <w:ilvl w:val="0"/>
          <w:numId w:val="2"/>
        </w:numPr>
      </w:pPr>
      <w:r>
        <w:t xml:space="preserve">Re-run the full suite against the fresh deployment before considering the change complete</w:t>
      </w:r>
    </w:p>
    <w:p>
      <w:pPr>
        <w:pStyle w:val="Heading2"/>
      </w:pPr>
      <w:r>
        <w:t xml:space="preserve">Manual (Guided Walkthroughs)</w:t>
      </w:r>
    </w:p>
    <w:p>
      <w:pPr>
        <w:spacing w:after="200"/>
      </w:pPr>
      <w:r>
        <w:t xml:space="preserve">The User Guide and Admin Guide documents provide step-by-step "what to verify" checklists for a human tester to follow. These cover the entire platform, including the areas called out in Section 2 as not yet automated.</w:t>
      </w:r>
    </w:p>
    <w:p>
      <w:pPr>
        <w:pBdr>
          <w:bottom w:val="single" w:color="999999" w:sz="6" w:space="1"/>
        </w:pBdr>
        <w:spacing w:after="300"/>
      </w:pPr>
    </w:p>
    <w:p>
      <w:pPr>
        <w:pStyle w:val="Heading1"/>
      </w:pPr>
      <w:r>
        <w:t xml:space="preserve">5. Test Data &amp; Accounts</w:t>
      </w:r>
    </w:p>
    <w:p>
      <w:pPr>
        <w:spacing w:after="200"/>
      </w:pPr>
      <w:r>
        <w:t xml:space="preserve">No real names or email addresses are used anywhere in testing. Instead, a small set of dedicated QA accounts, identified by role, cover the automated suite:</w:t>
      </w:r>
    </w:p>
    <w:p>
      <w:pPr>
        <w:pStyle w:val="ListParagraph"/>
        <w:numPr>
          <w:ilvl w:val="0"/>
          <w:numId w:val="2"/>
        </w:numPr>
      </w:pPr>
      <w:r>
        <w:t xml:space="preserve">A shared general-purpose member account</w:t>
      </w:r>
    </w:p>
    <w:p>
      <w:pPr>
        <w:pStyle w:val="ListParagraph"/>
        <w:numPr>
          <w:ilvl w:val="0"/>
          <w:numId w:val="2"/>
        </w:numPr>
      </w:pPr>
      <w:r>
        <w:t xml:space="preserve">A shared admin account</w:t>
      </w:r>
    </w:p>
    <w:p>
      <w:pPr>
        <w:pStyle w:val="ListParagraph"/>
        <w:numPr>
          <w:ilvl w:val="0"/>
          <w:numId w:val="2"/>
        </w:numPr>
      </w:pPr>
      <w:r>
        <w:t xml:space="preserve">A dedicated service-provider account</w:t>
      </w:r>
    </w:p>
    <w:p>
      <w:pPr>
        <w:pStyle w:val="ListParagraph"/>
        <w:numPr>
          <w:ilvl w:val="0"/>
          <w:numId w:val="2"/>
        </w:numPr>
      </w:pPr>
      <w:r>
        <w:t xml:space="preserve">A dedicated brand-ambassador account</w:t>
      </w:r>
    </w:p>
    <w:p>
      <w:pPr>
        <w:pStyle w:val="ListParagraph"/>
        <w:numPr>
          <w:ilvl w:val="0"/>
          <w:numId w:val="2"/>
        </w:numPr>
      </w:pPr>
      <w:r>
        <w:t xml:space="preserve">A "recipient" account, used only as a message or recognition target, so tests never need one account to act on itself</w:t>
      </w:r>
    </w:p>
    <w:p>
      <w:pPr>
        <w:pStyle w:val="ListParagraph"/>
        <w:numPr>
          <w:ilvl w:val="0"/>
          <w:numId w:val="2"/>
        </w:numPr>
      </w:pPr>
      <w:r>
        <w:t xml:space="preserve">One deliberately isolated account, reserved only for tests that mutate account-level state that would otherwise collide with concurrently-running tests — for example enabling two-factor authentication, changing a password, or changing a username or profile</w:t>
      </w:r>
    </w:p>
    <w:p>
      <w:pPr>
        <w:spacing w:after="200"/>
      </w:pPr>
      <w:r>
        <w:t xml:space="preserve">Concentrating that state-mutating load on a single dedicated account, rather than the general-purpose one, keeps the blast radius of a failed cleanup step at zero for everything else — a bad cleanup on the isolated account only ever risks that one account's tests, never the broader suite.</w:t>
      </w:r>
    </w:p>
    <w:p>
      <w:pPr>
        <w:spacing w:after="200"/>
      </w:pPr>
      <w:r>
        <w:t xml:space="preserve">Any test that needs a brand-new, single-use identity — such as testing registration itself — creates one on the fly with a timestamp embedded in the name and email, so repeated runs never collide with each other. That identity is either cleaned up automatically after the test, or, when the feature has no hard-delete option, left in an intentionally harmless deactivated or lifted state.</w:t>
      </w:r>
    </w:p>
    <w:p>
      <w:pPr>
        <w:pBdr>
          <w:bottom w:val="single" w:color="999999" w:sz="6" w:space="1"/>
        </w:pBdr>
        <w:spacing w:after="300"/>
      </w:pPr>
    </w:p>
    <w:p>
      <w:pPr>
        <w:pStyle w:val="Heading1"/>
      </w:pPr>
      <w:r>
        <w:t xml:space="preserve">6. Known Flaky Patterns &amp; How They're Handled</w:t>
      </w:r>
    </w:p>
    <w:p>
      <w:pPr>
        <w:spacing w:after="200"/>
      </w:pPr>
      <w:r>
        <w:t xml:space="preserve">The following patterns are expected and documented characteristics of testing against a live, shared, rate-limited environment — not bugs to chase down:</w:t>
      </w:r>
    </w:p>
    <w:p>
      <w:pPr>
        <w:spacing w:after="200"/>
      </w:pPr>
      <w:r>
        <w:rPr>
          <w:b/>
          <w:bCs/>
        </w:rPr>
        <w:t xml:space="preserve">Two-factor-auth account collisions — </w:t>
      </w:r>
      <w:r>
        <w:t xml:space="preserve">the shared account used for two-factor-auth testing can occasionally collide with another test attempting a plain password sign-in at the same moment its two-factor state is briefly toggled on. This shows up as a one-off retry pass, not a persistent failure.</w:t>
      </w:r>
    </w:p>
    <w:p>
      <w:pPr>
        <w:spacing w:after="200"/>
      </w:pPr>
      <w:r>
        <w:rPr>
          <w:b/>
          <w:bCs/>
        </w:rPr>
        <w:t xml:space="preserve">Per-IP rate limiting — </w:t>
      </w:r>
      <w:r>
        <w:t xml:space="preserve">endpoints that are rate-limited per IP, such as registration and password reset, can occasionally return a rate-limit error during heavy back-to-back manual test runs from the same development machine. This is distinct from a real defect, and is confirmed by re-running the same test in isolation.</w:t>
      </w:r>
    </w:p>
    <w:p>
      <w:pPr>
        <w:spacing w:after="200"/>
      </w:pPr>
      <w:r>
        <w:rPr>
          <w:b/>
          <w:bCs/>
        </w:rPr>
        <w:t xml:space="preserve">The literal word "new" in URL assertions — </w:t>
      </w:r>
      <w:r>
        <w:t xml:space="preserve">any e2e assertion checking that the browser just navigated to a newly-created record's URL must explicitly exclude the literal word "new" from its matching pattern. The creation form itself lives at a "/new" path, which can otherwise satisfy an overly broad pattern match during the brief window before the created-record redirect completes. This only shows up under heavy test parallelism, not in isolated runs.</w:t>
      </w:r>
    </w:p>
    <w:p>
      <w:pPr>
        <w:pBdr>
          <w:bottom w:val="single" w:color="999999" w:sz="6" w:space="1"/>
        </w:pBdr>
        <w:spacing w:after="300"/>
      </w:pPr>
    </w:p>
    <w:p>
      <w:pPr>
        <w:pStyle w:val="Heading1"/>
      </w:pPr>
      <w:r>
        <w:t xml:space="preserve">7. Accessibility Findings</w:t>
      </w:r>
    </w:p>
    <w:p>
      <w:pPr>
        <w:spacing w:after="200"/>
      </w:pPr>
      <w:r>
        <w:t xml:space="preserve">Several admin content-authoring forms — business profile, ambassador profile, blog, resources, and morning boost — were found during this testing effort to have &lt;label&gt; elements not programmatically associated with their form fields (missing for/id attributes). This is a real screen-reader accessibility gap.</w:t>
      </w:r>
    </w:p>
    <w:p>
      <w:pPr>
        <w:spacing w:after="200"/>
      </w:pPr>
      <w:r>
        <w:t xml:space="preserve">Most instances have since been fixed. This class of issue is worth spot-checking whenever a new admin form is added.</w:t>
      </w:r>
    </w:p>
    <w:p>
      <w:pPr>
        <w:pBdr>
          <w:bottom w:val="single" w:color="999999" w:sz="6" w:space="1"/>
        </w:pBdr>
        <w:spacing w:after="300"/>
      </w:pPr>
    </w:p>
    <w:p>
      <w:pPr>
        <w:pStyle w:val="Heading1"/>
      </w:pPr>
      <w:r>
        <w:t xml:space="preserve">8. Entry &amp; Exit Criteria</w:t>
      </w:r>
    </w:p>
    <w:p>
      <w:pPr>
        <w:pStyle w:val="Heading2"/>
      </w:pPr>
      <w:r>
        <w:t xml:space="preserve">Entry Criteria</w:t>
      </w:r>
    </w:p>
    <w:p>
      <w:pPr>
        <w:pStyle w:val="ListParagraph"/>
        <w:numPr>
          <w:ilvl w:val="0"/>
          <w:numId w:val="2"/>
        </w:numPr>
      </w:pPr>
      <w:r>
        <w:t xml:space="preserve">Code is committed</w:t>
      </w:r>
    </w:p>
    <w:p>
      <w:pPr>
        <w:pStyle w:val="ListParagraph"/>
        <w:numPr>
          <w:ilvl w:val="0"/>
          <w:numId w:val="2"/>
        </w:numPr>
      </w:pPr>
      <w:r>
        <w:t xml:space="preserve">TypeScript compiles clean (npx tsc --noEmit)</w:t>
      </w:r>
    </w:p>
    <w:p>
      <w:pPr>
        <w:pStyle w:val="ListParagraph"/>
        <w:numPr>
          <w:ilvl w:val="0"/>
          <w:numId w:val="2"/>
        </w:numPr>
      </w:pPr>
      <w:r>
        <w:t xml:space="preserve">The relevant new or changed spec passes in isolation twice</w:t>
      </w:r>
    </w:p>
    <w:p>
      <w:pPr>
        <w:pStyle w:val="Heading2"/>
      </w:pPr>
      <w:r>
        <w:t xml:space="preserve">Exit Criteria</w:t>
      </w:r>
    </w:p>
    <w:p>
      <w:pPr>
        <w:pStyle w:val="ListParagraph"/>
        <w:numPr>
          <w:ilvl w:val="0"/>
          <w:numId w:val="2"/>
        </w:numPr>
      </w:pPr>
      <w:r>
        <w:t xml:space="preserve">The full local suite passes, excepting the known flaky patterns in Section 6, which are allowed to pass on retry</w:t>
      </w:r>
    </w:p>
    <w:p>
      <w:pPr>
        <w:pStyle w:val="ListParagraph"/>
        <w:numPr>
          <w:ilvl w:val="0"/>
          <w:numId w:val="2"/>
        </w:numPr>
      </w:pPr>
      <w:r>
        <w:t xml:space="preserve">The change is deployed</w:t>
      </w:r>
    </w:p>
    <w:p>
      <w:pPr>
        <w:pStyle w:val="ListParagraph"/>
        <w:numPr>
          <w:ilvl w:val="0"/>
          <w:numId w:val="2"/>
        </w:numPr>
      </w:pPr>
      <w:r>
        <w:t xml:space="preserve">The relevant spec(s) pass again against the live deployment</w:t>
      </w:r>
    </w:p>
    <w:p>
      <w:pPr>
        <w:pBdr>
          <w:bottom w:val="single" w:color="999999" w:sz="6" w:space="1"/>
        </w:pBdr>
        <w:spacing w:after="300"/>
      </w:pPr>
    </w:p>
    <w:p>
      <w:pPr>
        <w:pStyle w:val="Heading1"/>
      </w:pPr>
      <w:r>
        <w:t xml:space="preserve">9. Roles &amp; Responsibilities</w:t>
      </w:r>
    </w:p>
    <w:p>
      <w:pPr>
        <w:spacing w:after="200"/>
      </w:pPr>
      <w:r>
        <w:t xml:space="preserve">Engineering is responsible for writing and maintaining automated coverage as features ship, keeping the Playwright suite current with the platform.</w:t>
      </w:r>
    </w:p>
    <w:p>
      <w:pPr>
        <w:spacing w:after="200"/>
      </w:pPr>
      <w:r>
        <w:t xml:space="preserve">QA and product stakeholders are responsible for the manual walkthroughs in the User Guide and Admin Guide, especially for the areas called out in Section 2 as not yet automated.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2026-08-20T19:16:13.057Z</dcterms:created>
  <dcterms:modified xsi:type="dcterms:W3CDTF">2026-08-20T19:16:13.058Z</dcterms:modified>
</cp:coreProperties>
</file>

<file path=docProps/custom.xml><?xml version="1.0" encoding="utf-8"?>
<Properties xmlns="http://schemas.openxmlformats.org/officeDocument/2006/custom-properties" xmlns:vt="http://schemas.openxmlformats.org/officeDocument/2006/docPropsVTypes"/>
</file>