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Stakeholder Feedback — Curriculum Design and Development</w:t>
      </w:r>
    </w:p>
    <w:p>
      <w:pPr>
        <w:jc w:val="center"/>
      </w:pPr>
      <w:r>
        <w:rPr>
          <w:i/>
        </w:rPr>
        <w:t>Rate each statement: 5 Strongly agree · 4 Agree · 3 Neutral · 2 Disagree · 1 Strongly disagree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85"/>
        <w:gridCol w:w="5953"/>
      </w:tblGrid>
      <w:tr>
        <w:tc>
          <w:tcPr>
            <w:tcW w:type="dxa" w:w="368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Category (Industry Expert / Academician / Alumni / Employer / Student / Parent)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Organisation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Programme reviewed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953"/>
          </w:tcPr>
          <w:p>
            <w:r/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80"/>
        <w:gridCol w:w="6123"/>
        <w:gridCol w:w="567"/>
        <w:gridCol w:w="567"/>
        <w:gridCol w:w="567"/>
        <w:gridCol w:w="567"/>
        <w:gridCol w:w="567"/>
      </w:tblGrid>
      <w:tr>
        <w:tc>
          <w:tcPr>
            <w:tcW w:type="dxa" w:w="680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6123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567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rPr>
                <w:b/>
              </w:rPr>
              <w:t>3</w:t>
            </w:r>
          </w:p>
        </w:tc>
        <w:tc>
          <w:tcPr>
            <w:tcW w:type="dxa" w:w="567"/>
          </w:tcPr>
          <w:p>
            <w:r>
              <w:rPr>
                <w:b/>
              </w:rPr>
              <w:t>2</w:t>
            </w:r>
          </w:p>
        </w:tc>
        <w:tc>
          <w:tcPr>
            <w:tcW w:type="dxa" w:w="567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6123"/>
          </w:tcPr>
          <w:p>
            <w:r>
              <w:t>The curriculum is relevant to current industry and societal needs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6123"/>
          </w:tcPr>
          <w:p>
            <w:r>
              <w:t>Course objectives and outcomes are clearly stated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6123"/>
          </w:tcPr>
          <w:p>
            <w:r>
              <w:t>The courses are sequenced appropriately across semesters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6123"/>
          </w:tcPr>
          <w:p>
            <w:r>
              <w:t>Adequate weight is given to practical / hands-on learning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5</w:t>
            </w:r>
          </w:p>
        </w:tc>
        <w:tc>
          <w:tcPr>
            <w:tcW w:type="dxa" w:w="6123"/>
          </w:tcPr>
          <w:p>
            <w:r>
              <w:t>Electives offer sufficient breadth and choice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6123"/>
          </w:tcPr>
          <w:p>
            <w:r>
              <w:t>Emerging technologies and trends are covered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6123"/>
          </w:tcPr>
          <w:p>
            <w:r>
              <w:t>The curriculum develops employability and soft skills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6123"/>
          </w:tcPr>
          <w:p>
            <w:r>
              <w:t>Textbooks and references are current and adequate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6123"/>
          </w:tcPr>
          <w:p>
            <w:r>
              <w:t>Assessment methods match the course outcomes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680"/>
          </w:tcPr>
          <w:p>
            <w:r>
              <w:t>10</w:t>
            </w:r>
          </w:p>
        </w:tc>
        <w:tc>
          <w:tcPr>
            <w:tcW w:type="dxa" w:w="6123"/>
          </w:tcPr>
          <w:p>
            <w:r>
              <w:t>Overall, the curriculum prepares students well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</w:tbl>
    <w:p/>
    <w:p>
      <w:r>
        <w:rPr>
          <w:b/>
        </w:rPr>
        <w:t>Suggestions for improvement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r>
              <w:rPr>
                <w:b/>
              </w:rPr>
              <w:t>Suggestions</w:t>
            </w:r>
          </w:p>
        </w:tc>
      </w:tr>
      <w:tr>
        <w:tc>
          <w:tcPr>
            <w:tcW w:type="dxa" w:w="9638"/>
          </w:tcPr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Signature of the Stakeholder</w:t>
            </w:r>
          </w:p>
        </w:tc>
        <w:tc>
          <w:tcPr>
            <w:tcW w:type="dxa" w:w="4819"/>
          </w:tcPr>
          <w:p>
            <w:r>
              <w:rPr>
                <w:b/>
              </w:rPr>
              <w:t>Head of Department</w:t>
            </w:r>
          </w:p>
        </w:tc>
      </w:tr>
    </w:tbl>
    <w:sectPr>
      <w:headerReference r:id="rId7" w:type="default"/>
      <w:footerReference r:id="rId8" w:type="default"/>
      <w:pgSz w:h="16838" w:w="11906"/>
      <w:pgMar w:bottom="1440" w:top="1440" w:left="1134" w:right="1134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3">
    <w:pPr>
      <w:spacing w:after="0" w:line="276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936567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rgbClr val="E6B8A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65673" cy="1901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B4">
    <w:pPr>
      <w:spacing w:after="0" w:line="276" w:lineRule="auto"/>
      <w:rPr/>
    </w:pPr>
    <w:r w:rsidDel="00000000" w:rsidR="00000000" w:rsidRPr="00000000">
      <w:rPr>
        <w:color w:val="434343"/>
        <w:rtl w:val="0"/>
      </w:rPr>
      <w:t xml:space="preserve">Prepared and Approved by Office of Academics                                                          </w:t>
    </w:r>
    <w:r w:rsidDel="00000000" w:rsidR="00000000" w:rsidRPr="00000000">
      <w:rPr>
        <w:rFonts w:ascii="Arial" w:cs="Arial" w:eastAsia="Arial" w:hAnsi="Arial"/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34343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t xml:space="preserve">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1">
    <w:pPr>
      <w:spacing w:after="0" w:line="240" w:lineRule="auto"/>
      <w:rPr>
        <w:color w:val="666666"/>
      </w:rPr>
    </w:pPr>
    <w:r w:rsidDel="00000000" w:rsidR="00000000" w:rsidRPr="00000000">
      <w:rPr>
        <w:color w:val="666666"/>
        <w:rtl w:val="0"/>
      </w:rPr>
      <w:t>Board of Studies — Reference Template</w:t>
    </w:r>
    <w:r w:rsidDel="00000000" w:rsidR="00000000" w:rsidRPr="00000000">
      <w:rPr>
        <w:color w:val="666666"/>
        <w:sz w:val="24"/>
        <w:szCs w:val="24"/>
        <w:rtl w:val="0"/>
      </w:rPr>
    </w:r>
    <w:r w:rsidDel="00000000" w:rsidR="00000000" w:rsidRPr="00000000">
      <w:rPr>
        <w:color w:val="666666"/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623385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chemeClr val="accent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03" cy="88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FnBzSt1y+45kEwqAPr5p9NL1g==">CgMxLjA4AHIhMXZjN0oyMW9zU2NLeVF4Ymk1Mmt6NFFBdE4xWm9tMG1H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python-docx</cp:lastModifiedBy>
  <cp:revision>1</cp:revision>
  <dcterms:modified xsi:type="dcterms:W3CDTF">2026-10-06T10:31:03Z</dcterms:modified>
  <dc:creator>Office of Academics</dc:creator>
</cp:coreProperties>
</file>