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910" w:rsidRDefault="00CD234F">
      <w:pPr>
        <w:jc w:val="center"/>
      </w:pPr>
      <w:r>
        <w:rPr>
          <w:b/>
          <w:sz w:val="32"/>
        </w:rPr>
        <w:t>TLEP REVIEW – REMARKS</w:t>
      </w:r>
    </w:p>
    <w:p w:rsidR="00AC0910" w:rsidRDefault="00CD234F">
      <w:pPr>
        <w:jc w:val="center"/>
      </w:pPr>
      <w:r>
        <w:rPr>
          <w:b/>
          <w:sz w:val="22"/>
        </w:rPr>
        <w:t>Sample Review: Sports Biomechanics (23BSS3C01)</w:t>
      </w:r>
    </w:p>
    <w:p w:rsidR="00AC0910" w:rsidRDefault="00CD234F">
      <w:r>
        <w:rPr>
          <w:b/>
        </w:rPr>
        <w:t xml:space="preserve">Programme: </w:t>
      </w:r>
      <w:r>
        <w:t xml:space="preserve">Bachelor of Sports Science    </w:t>
      </w:r>
      <w:r>
        <w:rPr>
          <w:b/>
        </w:rPr>
        <w:t xml:space="preserve">Credits: </w:t>
      </w:r>
      <w:r>
        <w:t xml:space="preserve">03    </w:t>
      </w:r>
      <w:r>
        <w:rPr>
          <w:b/>
        </w:rPr>
        <w:t xml:space="preserve">L-T-P-E: </w:t>
      </w:r>
      <w:r>
        <w:t xml:space="preserve">2-0-2-0    </w:t>
      </w:r>
      <w:r>
        <w:rPr>
          <w:b/>
        </w:rPr>
        <w:t xml:space="preserve">Contact Hours: </w:t>
      </w:r>
      <w:r>
        <w:t>60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AC0910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AC0910" w:rsidRDefault="00CD234F">
            <w:r>
              <w:rPr>
                <w:b/>
              </w:rPr>
              <w:t>Overall Status</w:t>
            </w:r>
          </w:p>
        </w:tc>
        <w:tc>
          <w:tcPr>
            <w:tcW w:w="5112" w:type="dxa"/>
            <w:shd w:val="clear" w:color="auto" w:fill="FFF2CC"/>
            <w:vAlign w:val="center"/>
          </w:tcPr>
          <w:p w:rsidR="00AC0910" w:rsidRDefault="00CD234F">
            <w:r>
              <w:rPr>
                <w:b/>
              </w:rPr>
              <w:t>Attention Required – Targeted Revision</w:t>
            </w:r>
          </w:p>
        </w:tc>
      </w:tr>
    </w:tbl>
    <w:p w:rsidR="00AC0910" w:rsidRDefault="00AC0910" w:rsidP="00CF0838">
      <w:pPr>
        <w:jc w:val="both"/>
      </w:pPr>
    </w:p>
    <w:p w:rsidR="00AC0910" w:rsidRDefault="00CD234F" w:rsidP="00CF0838">
      <w:pPr>
        <w:jc w:val="both"/>
      </w:pPr>
      <w:r>
        <w:rPr>
          <w:b/>
          <w:sz w:val="24"/>
        </w:rPr>
        <w:t>Remarks</w:t>
      </w:r>
    </w:p>
    <w:p w:rsidR="00AC0910" w:rsidRDefault="00CD234F" w:rsidP="00CF0838">
      <w:pPr>
        <w:spacing w:after="80"/>
        <w:ind w:left="216"/>
        <w:jc w:val="both"/>
      </w:pPr>
      <w:r>
        <w:t xml:space="preserve">1. The TLEP is generally </w:t>
      </w:r>
      <w:r>
        <w:t>well structured, with clear course information, a 60-hour session-wise teaching-learning plan and appropriate coverage of the five course modules.</w:t>
      </w:r>
    </w:p>
    <w:p w:rsidR="00AC0910" w:rsidRDefault="00CD234F" w:rsidP="00CF0838">
      <w:pPr>
        <w:spacing w:after="80"/>
        <w:ind w:left="216"/>
        <w:jc w:val="both"/>
      </w:pPr>
      <w:r>
        <w:t>2. The session plan demonstrates good use of varied teaching-learning strategies, including practical activit</w:t>
      </w:r>
      <w:r>
        <w:t>ies, peer learning, quizzes, case-based learning, simulations and movement analysis. The experiential and active-learning components are a notable strength.</w:t>
      </w:r>
    </w:p>
    <w:p w:rsidR="00AC0910" w:rsidRDefault="00CD234F" w:rsidP="00CF0838">
      <w:pPr>
        <w:spacing w:after="80"/>
        <w:ind w:left="216"/>
        <w:jc w:val="both"/>
      </w:pPr>
      <w:r>
        <w:t>3. The Course Outcomes are broadly aligned with the course content; however, a numbering inconsiste</w:t>
      </w:r>
      <w:r>
        <w:t>ncy is observed, as CO6 appears in the CO–PO mapping although only CO1–CO5 are defined in the Course Outcomes section. This requires correction.</w:t>
      </w:r>
    </w:p>
    <w:p w:rsidR="00AC0910" w:rsidRDefault="00CD234F" w:rsidP="00CF0838">
      <w:pPr>
        <w:spacing w:after="80"/>
        <w:ind w:left="216"/>
        <w:jc w:val="both"/>
      </w:pPr>
      <w:r>
        <w:t>4. The CO–PO/PSO mapping requires review and validation. The supplied TLEP refers to PSOs, but PSOs are not pre</w:t>
      </w:r>
      <w:r>
        <w:t>sented in the document, and the existing mapping should be reconstructed after resolving the CO inconsistency.</w:t>
      </w:r>
    </w:p>
    <w:p w:rsidR="00AC0910" w:rsidRDefault="00CD234F" w:rsidP="00CF0838">
      <w:pPr>
        <w:spacing w:after="80"/>
        <w:ind w:left="216"/>
        <w:jc w:val="both"/>
      </w:pPr>
      <w:r>
        <w:t>5. The assessment structure is clearly defined and the stated components add up to 100%. However, a detailed CO-wise and Bloom's Taxonomy-wise as</w:t>
      </w:r>
      <w:r>
        <w:t>sessment blueprint is not provided; this should be included to establish stronger alignment between COs and assessment instruments.</w:t>
      </w:r>
    </w:p>
    <w:p w:rsidR="00AC0910" w:rsidRDefault="00CD234F" w:rsidP="00CF0838">
      <w:pPr>
        <w:spacing w:after="80"/>
        <w:ind w:left="216"/>
        <w:jc w:val="both"/>
      </w:pPr>
      <w:r>
        <w:t>6. The practical component indicated through the 2-0-2-0 structure should be more explicitly reflected in the teaching-learn</w:t>
      </w:r>
      <w:r>
        <w:t>ing and assessment plan, including identification of practical sessions and the corresponding assessment/evidence.</w:t>
      </w:r>
    </w:p>
    <w:p w:rsidR="00AC0910" w:rsidRDefault="00CD234F" w:rsidP="00CF0838">
      <w:pPr>
        <w:spacing w:after="80"/>
        <w:ind w:left="216"/>
        <w:jc w:val="both"/>
      </w:pPr>
      <w:r>
        <w:t>7. The TLEP includes feedback/correction and reflective activities; how</w:t>
      </w:r>
      <w:bookmarkStart w:id="0" w:name="_GoBack"/>
      <w:bookmarkEnd w:id="0"/>
      <w:r>
        <w:t>ever, evidence of student feedback analysis, key issues identified, ac</w:t>
      </w:r>
      <w:r>
        <w:t>tion taken and resulting improvement is not documented. A clear feedback-to-improvement cycle should be incorporated.</w:t>
      </w:r>
    </w:p>
    <w:p w:rsidR="00AC0910" w:rsidRDefault="00CD234F" w:rsidP="00CF0838">
      <w:pPr>
        <w:spacing w:after="80"/>
        <w:ind w:left="216"/>
        <w:jc w:val="both"/>
      </w:pPr>
      <w:r>
        <w:t>8. A formal continuous-improvement record linking previous course review/feedback, corrective action and changes incorporated into the cur</w:t>
      </w:r>
      <w:r>
        <w:t>rent TLEP is not evidenced.</w:t>
      </w:r>
    </w:p>
    <w:p w:rsidR="00AC0910" w:rsidRDefault="00CD234F" w:rsidP="00CF0838">
      <w:pPr>
        <w:spacing w:after="80"/>
        <w:ind w:left="216"/>
        <w:jc w:val="both"/>
      </w:pPr>
      <w:r>
        <w:t>9. Learning resources are adequate at a basic level, with recommended textbooks provided. References should be standardised, and contemporary scholarly/digital resources may be identified where relevant.</w:t>
      </w:r>
    </w:p>
    <w:p w:rsidR="00AC0910" w:rsidRDefault="00CD234F" w:rsidP="00CF0838">
      <w:pPr>
        <w:spacing w:after="80"/>
        <w:ind w:left="216"/>
        <w:jc w:val="both"/>
      </w:pPr>
      <w:r>
        <w:t>10. Overall, the TLEP de</w:t>
      </w:r>
      <w:r>
        <w:t>monstrates a strong teaching-learning foundation but requires targeted revision primarily in OBE mapping, CO–assessment alignment, practical-component documentation, feedback analysis and continuous improvement.</w:t>
      </w:r>
    </w:p>
    <w:p w:rsidR="00AC0910" w:rsidRDefault="00CD234F" w:rsidP="00CF0838">
      <w:pPr>
        <w:spacing w:before="160"/>
        <w:jc w:val="both"/>
      </w:pPr>
      <w:r>
        <w:rPr>
          <w:b/>
          <w:sz w:val="24"/>
        </w:rPr>
        <w:t>Recommended Action</w:t>
      </w:r>
    </w:p>
    <w:p w:rsidR="00AC0910" w:rsidRDefault="00CD234F" w:rsidP="00CF0838">
      <w:pPr>
        <w:spacing w:after="60"/>
        <w:jc w:val="both"/>
      </w:pPr>
      <w:r>
        <w:rPr>
          <w:b/>
        </w:rPr>
        <w:t>Return for targeted revis</w:t>
      </w:r>
      <w:r>
        <w:rPr>
          <w:b/>
        </w:rPr>
        <w:t xml:space="preserve">ion. </w:t>
      </w:r>
      <w:r>
        <w:t>The course may be considered for final review after the critical OBE mapping inconsistencies, CO–assessment alignment and feedback/continuous-improvement documentation are addressed.</w:t>
      </w:r>
    </w:p>
    <w:p w:rsidR="00CF0838" w:rsidRDefault="00CF0838">
      <w:pPr>
        <w:spacing w:before="160"/>
        <w:rPr>
          <w:b/>
          <w:sz w:val="24"/>
        </w:rPr>
      </w:pPr>
    </w:p>
    <w:p w:rsidR="00CF0838" w:rsidRDefault="00CF0838">
      <w:pPr>
        <w:spacing w:before="160"/>
        <w:rPr>
          <w:b/>
          <w:sz w:val="24"/>
        </w:rPr>
      </w:pPr>
    </w:p>
    <w:p w:rsidR="00CF0838" w:rsidRDefault="00CF0838">
      <w:pPr>
        <w:spacing w:before="160"/>
        <w:rPr>
          <w:b/>
          <w:sz w:val="24"/>
        </w:rPr>
      </w:pPr>
    </w:p>
    <w:p w:rsidR="00AC0910" w:rsidRDefault="00CD234F">
      <w:pPr>
        <w:spacing w:before="160"/>
      </w:pPr>
      <w:r>
        <w:rPr>
          <w:b/>
          <w:sz w:val="24"/>
        </w:rPr>
        <w:lastRenderedPageBreak/>
        <w:t>Lead Team Quick 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C0910">
        <w:trPr>
          <w:jc w:val="center"/>
        </w:trPr>
        <w:tc>
          <w:tcPr>
            <w:tcW w:w="3408" w:type="dxa"/>
            <w:shd w:val="clear" w:color="auto" w:fill="1F4E78"/>
          </w:tcPr>
          <w:p w:rsidR="00AC0910" w:rsidRDefault="00CD234F">
            <w:r>
              <w:rPr>
                <w:b/>
                <w:color w:val="FFFFFF"/>
              </w:rPr>
              <w:t>Area</w:t>
            </w:r>
          </w:p>
        </w:tc>
        <w:tc>
          <w:tcPr>
            <w:tcW w:w="3408" w:type="dxa"/>
            <w:shd w:val="clear" w:color="auto" w:fill="1F4E78"/>
          </w:tcPr>
          <w:p w:rsidR="00AC0910" w:rsidRDefault="00CD234F">
            <w:r>
              <w:rPr>
                <w:b/>
                <w:color w:val="FFFFFF"/>
              </w:rPr>
              <w:t>Observation</w:t>
            </w:r>
          </w:p>
        </w:tc>
        <w:tc>
          <w:tcPr>
            <w:tcW w:w="3408" w:type="dxa"/>
            <w:shd w:val="clear" w:color="auto" w:fill="1F4E78"/>
          </w:tcPr>
          <w:p w:rsidR="00AC0910" w:rsidRDefault="00CD234F">
            <w:r>
              <w:rPr>
                <w:b/>
                <w:color w:val="FFFFFF"/>
              </w:rPr>
              <w:t>Priority</w:t>
            </w:r>
          </w:p>
        </w:tc>
      </w:tr>
      <w:tr w:rsidR="00AC0910">
        <w:trPr>
          <w:jc w:val="center"/>
        </w:trPr>
        <w:tc>
          <w:tcPr>
            <w:tcW w:w="3408" w:type="dxa"/>
            <w:vAlign w:val="center"/>
          </w:tcPr>
          <w:p w:rsidR="00AC0910" w:rsidRDefault="00CD234F">
            <w:r>
              <w:t xml:space="preserve">Teaching-Learning </w:t>
            </w:r>
            <w:r>
              <w:t>Plan</w:t>
            </w:r>
          </w:p>
        </w:tc>
        <w:tc>
          <w:tcPr>
            <w:tcW w:w="3408" w:type="dxa"/>
            <w:vAlign w:val="center"/>
          </w:tcPr>
          <w:p w:rsidR="00AC0910" w:rsidRDefault="00CD234F">
            <w:r>
              <w:t>Strong session-wise planning and varied pedagogy.</w:t>
            </w:r>
          </w:p>
        </w:tc>
        <w:tc>
          <w:tcPr>
            <w:tcW w:w="3408" w:type="dxa"/>
            <w:shd w:val="clear" w:color="auto" w:fill="E2F0D9"/>
            <w:vAlign w:val="center"/>
          </w:tcPr>
          <w:p w:rsidR="00AC0910" w:rsidRDefault="00CD234F">
            <w:r>
              <w:t>Strength</w:t>
            </w:r>
          </w:p>
        </w:tc>
      </w:tr>
      <w:tr w:rsidR="00AC0910">
        <w:trPr>
          <w:jc w:val="center"/>
        </w:trPr>
        <w:tc>
          <w:tcPr>
            <w:tcW w:w="3408" w:type="dxa"/>
            <w:vAlign w:val="center"/>
          </w:tcPr>
          <w:p w:rsidR="00AC0910" w:rsidRDefault="00CD234F">
            <w:r>
              <w:t>OBE Mapping</w:t>
            </w:r>
          </w:p>
        </w:tc>
        <w:tc>
          <w:tcPr>
            <w:tcW w:w="3408" w:type="dxa"/>
            <w:vAlign w:val="center"/>
          </w:tcPr>
          <w:p w:rsidR="00AC0910" w:rsidRDefault="00CD234F">
            <w:r>
              <w:t>CO6 inconsistency; CO–PO/PSO mapping requires correction.</w:t>
            </w:r>
          </w:p>
        </w:tc>
        <w:tc>
          <w:tcPr>
            <w:tcW w:w="3408" w:type="dxa"/>
            <w:shd w:val="clear" w:color="auto" w:fill="F4CCCC"/>
            <w:vAlign w:val="center"/>
          </w:tcPr>
          <w:p w:rsidR="00AC0910" w:rsidRDefault="00CD234F">
            <w:r>
              <w:t>Critical</w:t>
            </w:r>
          </w:p>
        </w:tc>
      </w:tr>
      <w:tr w:rsidR="00AC0910">
        <w:trPr>
          <w:jc w:val="center"/>
        </w:trPr>
        <w:tc>
          <w:tcPr>
            <w:tcW w:w="3408" w:type="dxa"/>
            <w:vAlign w:val="center"/>
          </w:tcPr>
          <w:p w:rsidR="00AC0910" w:rsidRDefault="00CD234F">
            <w:r>
              <w:t>Assessment Alignment</w:t>
            </w:r>
          </w:p>
        </w:tc>
        <w:tc>
          <w:tcPr>
            <w:tcW w:w="3408" w:type="dxa"/>
            <w:vAlign w:val="center"/>
          </w:tcPr>
          <w:p w:rsidR="00AC0910" w:rsidRDefault="00CD234F">
            <w:r>
              <w:t>CO coverage is stated, but detailed blueprint is absent.</w:t>
            </w:r>
          </w:p>
        </w:tc>
        <w:tc>
          <w:tcPr>
            <w:tcW w:w="3408" w:type="dxa"/>
            <w:shd w:val="clear" w:color="auto" w:fill="FCE4D6"/>
            <w:vAlign w:val="center"/>
          </w:tcPr>
          <w:p w:rsidR="00AC0910" w:rsidRDefault="00CD234F">
            <w:r>
              <w:t>Major</w:t>
            </w:r>
          </w:p>
        </w:tc>
      </w:tr>
      <w:tr w:rsidR="00AC0910">
        <w:trPr>
          <w:jc w:val="center"/>
        </w:trPr>
        <w:tc>
          <w:tcPr>
            <w:tcW w:w="3408" w:type="dxa"/>
            <w:vAlign w:val="center"/>
          </w:tcPr>
          <w:p w:rsidR="00AC0910" w:rsidRDefault="00CD234F">
            <w:r>
              <w:t>Feedback &amp; Analysis</w:t>
            </w:r>
          </w:p>
        </w:tc>
        <w:tc>
          <w:tcPr>
            <w:tcW w:w="3408" w:type="dxa"/>
            <w:vAlign w:val="center"/>
          </w:tcPr>
          <w:p w:rsidR="00AC0910" w:rsidRDefault="00CD234F">
            <w:r>
              <w:t>Feedback analysis and action taken are not evidenced.</w:t>
            </w:r>
          </w:p>
        </w:tc>
        <w:tc>
          <w:tcPr>
            <w:tcW w:w="3408" w:type="dxa"/>
            <w:shd w:val="clear" w:color="auto" w:fill="F4CCCC"/>
            <w:vAlign w:val="center"/>
          </w:tcPr>
          <w:p w:rsidR="00AC0910" w:rsidRDefault="00CD234F">
            <w:r>
              <w:t>Critical</w:t>
            </w:r>
          </w:p>
        </w:tc>
      </w:tr>
      <w:tr w:rsidR="00AC0910">
        <w:trPr>
          <w:jc w:val="center"/>
        </w:trPr>
        <w:tc>
          <w:tcPr>
            <w:tcW w:w="3408" w:type="dxa"/>
            <w:vAlign w:val="center"/>
          </w:tcPr>
          <w:p w:rsidR="00AC0910" w:rsidRDefault="00CD234F">
            <w:r>
              <w:t>Continuous Improvement</w:t>
            </w:r>
          </w:p>
        </w:tc>
        <w:tc>
          <w:tcPr>
            <w:tcW w:w="3408" w:type="dxa"/>
            <w:vAlign w:val="center"/>
          </w:tcPr>
          <w:p w:rsidR="00AC0910" w:rsidRDefault="00CD234F">
            <w:r>
              <w:t>Formal improvement cycle is not documented.</w:t>
            </w:r>
          </w:p>
        </w:tc>
        <w:tc>
          <w:tcPr>
            <w:tcW w:w="3408" w:type="dxa"/>
            <w:shd w:val="clear" w:color="auto" w:fill="F4CCCC"/>
            <w:vAlign w:val="center"/>
          </w:tcPr>
          <w:p w:rsidR="00AC0910" w:rsidRDefault="00CD234F">
            <w:r>
              <w:t>Critical</w:t>
            </w:r>
          </w:p>
        </w:tc>
      </w:tr>
    </w:tbl>
    <w:p w:rsidR="00AC0910" w:rsidRDefault="00CD234F" w:rsidP="00CF0838">
      <w:pPr>
        <w:spacing w:before="160"/>
        <w:jc w:val="both"/>
      </w:pPr>
      <w:r>
        <w:rPr>
          <w:b/>
        </w:rPr>
        <w:t xml:space="preserve">Source: </w:t>
      </w:r>
      <w:r>
        <w:t>Submitted Teaching-Learning &amp; Evaluation Plan – Sports Biomechanics, Bachelor of Sports Science, Course Cod</w:t>
      </w:r>
      <w:r>
        <w:t>e 23BSS3C01.</w:t>
      </w:r>
    </w:p>
    <w:sectPr w:rsidR="00AC091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0910"/>
    <w:rsid w:val="00B47730"/>
    <w:rsid w:val="00CB0664"/>
    <w:rsid w:val="00CD234F"/>
    <w:rsid w:val="00CF0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42864"/>
  <w14:defaultImageDpi w14:val="300"/>
  <w15:docId w15:val="{805A38B6-F232-4BF2-A5E2-EEB9A1EA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321CC-0E0C-4A33-9389-4E01B6310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2026-10-08T07:51:00Z</dcterms:modified>
  <cp:category/>
</cp:coreProperties>
</file>