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INSTITUTIONAL TLEP PORTFOLIO – PROGRAMME EXECUTIVE REPORT</w:t>
      </w:r>
    </w:p>
    <w:p/>
    <w:p>
      <w:r>
        <w:rPr>
          <w:b/>
        </w:rPr>
        <w:t>1. Compliance Status Distribution</w:t>
      </w:r>
    </w:p>
    <w:p>
      <w:r>
        <w:drawing>
          <wp:inline xmlns:a="http://schemas.openxmlformats.org/drawingml/2006/main" xmlns:pic="http://schemas.openxmlformats.org/drawingml/2006/picture">
            <wp:extent cx="4114800" cy="381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38100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b/>
        </w:rPr>
        <w:t>PROGRAMME STATISTICS SUMMARY</w:t>
        <w:br/>
      </w:r>
      <w:r>
        <w:t>Total Courses Audited: 1</w:t>
        <w:br/>
      </w:r>
      <w:r>
        <w:t>Average Compliance Score: 54.1%</w:t>
        <w:br/>
      </w:r>
      <w:r>
        <w:t>Fully Compliant (Ready for BoS): 0</w:t>
        <w:br/>
      </w:r>
      <w:r>
        <w:t>Needs Minor Revision: 0</w:t>
        <w:br/>
      </w:r>
      <w:r>
        <w:t>Requires Major Rework: 1</w:t>
        <w:br/>
      </w:r>
    </w:p>
    <w:p/>
    <w:p>
      <w:r>
        <w:rPr>
          <w:b/>
        </w:rPr>
        <w:t>2. UG vs PG Course Breakdown</w:t>
      </w:r>
    </w:p>
    <w:p>
      <w:r>
        <w:drawing>
          <wp:inline xmlns:a="http://schemas.openxmlformats.org/drawingml/2006/main" xmlns:pic="http://schemas.openxmlformats.org/drawingml/2006/picture">
            <wp:extent cx="3657600" cy="298677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29867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3. Department Performance Leaderboard</w:t>
      </w:r>
    </w:p>
    <w:p>
      <w:r>
        <w:drawing>
          <wp:inline xmlns:a="http://schemas.openxmlformats.org/drawingml/2006/main" xmlns:pic="http://schemas.openxmlformats.org/drawingml/2006/picture">
            <wp:extent cx="5029200" cy="288950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89504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