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Odsjek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: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Računarstvo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i</w:t>
      </w:r>
      <w:proofErr w:type="spellEnd"/>
      <w:r w:rsidRPr="00F9277C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informatika</w:t>
      </w:r>
      <w:proofErr w:type="spellEnd"/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 xml:space="preserve">           </w:t>
      </w:r>
      <w:r>
        <w:rPr>
          <w:sz w:val="24"/>
          <w:szCs w:val="24"/>
          <w:lang w:val="bs-Latn-BA"/>
        </w:rPr>
        <w:tab/>
        <w:t xml:space="preserve">            </w:t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 xml:space="preserve"> 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E90F0D" w:rsidRPr="002D3156">
        <w:rPr>
          <w:sz w:val="24"/>
          <w:szCs w:val="24"/>
          <w:lang w:val="bs-Latn-BA"/>
        </w:rPr>
        <w:t xml:space="preserve"> 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Sportski klubovi (klijenti mogu rezervisati fitness salu, teretanu ili sportsku salu)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>aerobik (klijent mora rezervisati fitness salu najmanje mjesec dana 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- zaposlenik koji prima informacije od klijenta i unosi ih u sistem. </w:t>
      </w:r>
    </w:p>
    <w:p w:rsidR="006F3D00" w:rsidRDefault="006F3D00" w:rsidP="000E5DBC">
      <w:pPr>
        <w:rPr>
          <w:sz w:val="24"/>
          <w:szCs w:val="24"/>
          <w:lang w:val="bs-Latn-BA"/>
        </w:rPr>
      </w:pP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P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klijent daje svoje ime, prezime, i ukoliko pripada jednoj od četiri kategorije koje imaju popust može priložiti dokaz.</w:t>
      </w:r>
    </w:p>
    <w:p w:rsidR="00791BDC" w:rsidRPr="002D3156" w:rsidRDefault="00791BDC" w:rsidP="00791BDC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Odabir željene usluge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</w:t>
      </w:r>
    </w:p>
    <w:p w:rsidR="00791BDC" w:rsidRDefault="004D14B8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</w:t>
      </w:r>
      <w:r w:rsidR="00D44742" w:rsidRPr="00284426">
        <w:rPr>
          <w:sz w:val="24"/>
          <w:szCs w:val="24"/>
          <w:lang w:val="bs-Latn-BA"/>
        </w:rPr>
        <w:t>nt bira koji paket usluga želi.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Pr="00284426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daje na uvid određene dokumente, te se podaci o tome da li je u pitanju student, učenik, penzioner, invalid ili ništa od navedenog unose u sistem. Ovo je bitan faktor obzirom da se ovdje određuje koliki popust će osoba dobiti.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lastRenderedPageBreak/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Pr="00284426">
        <w:rPr>
          <w:sz w:val="24"/>
          <w:szCs w:val="24"/>
          <w:lang w:val="bs-Latn-BA"/>
        </w:rPr>
        <w:t xml:space="preserve"> 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>Naplata se neće vršiti u ovom koraku, jer se cijena u toku boravka klijenta može 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D3281A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Plaćanje cijene</w:t>
      </w:r>
    </w:p>
    <w:p w:rsidR="00A55A8B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ED2948" w:rsidRPr="00284426">
        <w:rPr>
          <w:sz w:val="24"/>
          <w:szCs w:val="24"/>
          <w:lang w:val="bs-Latn-BA"/>
        </w:rPr>
        <w:t xml:space="preserve"> 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7B6E08" w:rsidRPr="00284426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Ukoliko je klijent uzeo korištenje sportskorekreativnog centra na 4sata,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t>Evidencija o naknadama u slučaju nastale štete</w:t>
      </w:r>
    </w:p>
    <w:p w:rsidR="00CA3033" w:rsidRPr="00284426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547561" w:rsidRPr="00284426">
        <w:rPr>
          <w:sz w:val="24"/>
          <w:szCs w:val="24"/>
          <w:lang w:val="bs-Latn-BA"/>
        </w:rPr>
        <w:t xml:space="preserve"> - zaposlenik koji prima informacije od klijenta i unosi ih u sistem. 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D3281A" w:rsidRDefault="00D3281A" w:rsidP="00312F2B">
      <w:pPr>
        <w:ind w:firstLine="720"/>
        <w:rPr>
          <w:b/>
          <w:sz w:val="24"/>
          <w:szCs w:val="24"/>
          <w:lang w:val="bs-Latn-BA"/>
        </w:rPr>
      </w:pPr>
      <w:r w:rsidRPr="00D3281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EDEE38" wp14:editId="6AD8B2D5">
            <wp:simplePos x="0" y="0"/>
            <wp:positionH relativeFrom="column">
              <wp:posOffset>457200</wp:posOffset>
            </wp:positionH>
            <wp:positionV relativeFrom="paragraph">
              <wp:posOffset>365125</wp:posOffset>
            </wp:positionV>
            <wp:extent cx="5943600" cy="4390437"/>
            <wp:effectExtent l="0" t="0" r="0" b="0"/>
            <wp:wrapTopAndBottom/>
            <wp:docPr id="2" name="Picture 2" descr="C:\Users\Irmaa\Downloads\Ru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ownloads\Rub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281A">
        <w:rPr>
          <w:b/>
          <w:sz w:val="24"/>
          <w:szCs w:val="24"/>
          <w:lang w:val="bs-Latn-BA"/>
        </w:rPr>
        <w:t>Use case dijagram:</w:t>
      </w:r>
      <w:bookmarkStart w:id="0" w:name="_GoBack"/>
      <w:bookmarkEnd w:id="0"/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312F2B" w:rsidRDefault="00D3281A" w:rsidP="00312F2B">
      <w:pPr>
        <w:ind w:firstLine="720"/>
        <w:rPr>
          <w:sz w:val="24"/>
          <w:szCs w:val="24"/>
          <w:lang w:val="bs-Latn-BA"/>
        </w:rPr>
      </w:pPr>
    </w:p>
    <w:sectPr w:rsidR="00D3281A" w:rsidRPr="00312F2B" w:rsidSect="00CB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74DC9"/>
    <w:multiLevelType w:val="hybridMultilevel"/>
    <w:tmpl w:val="F19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2E3B"/>
    <w:rsid w:val="00006044"/>
    <w:rsid w:val="000A72AE"/>
    <w:rsid w:val="000E5DBC"/>
    <w:rsid w:val="00196231"/>
    <w:rsid w:val="00221941"/>
    <w:rsid w:val="00230C86"/>
    <w:rsid w:val="00284426"/>
    <w:rsid w:val="002D05AD"/>
    <w:rsid w:val="002D3156"/>
    <w:rsid w:val="00312F2B"/>
    <w:rsid w:val="003F1C52"/>
    <w:rsid w:val="00411ACA"/>
    <w:rsid w:val="0042076D"/>
    <w:rsid w:val="004B0CDD"/>
    <w:rsid w:val="004D14B8"/>
    <w:rsid w:val="00547561"/>
    <w:rsid w:val="005B005F"/>
    <w:rsid w:val="005E5CDB"/>
    <w:rsid w:val="006F3D00"/>
    <w:rsid w:val="00721678"/>
    <w:rsid w:val="00767AE2"/>
    <w:rsid w:val="00773D54"/>
    <w:rsid w:val="00791BDC"/>
    <w:rsid w:val="007B6E08"/>
    <w:rsid w:val="007F2D39"/>
    <w:rsid w:val="00807D40"/>
    <w:rsid w:val="00812E3B"/>
    <w:rsid w:val="008B5DC8"/>
    <w:rsid w:val="00994E31"/>
    <w:rsid w:val="00A1245A"/>
    <w:rsid w:val="00A55A8B"/>
    <w:rsid w:val="00A723E1"/>
    <w:rsid w:val="00B123AB"/>
    <w:rsid w:val="00B80E7A"/>
    <w:rsid w:val="00BC5633"/>
    <w:rsid w:val="00BE7266"/>
    <w:rsid w:val="00C20F79"/>
    <w:rsid w:val="00C83C61"/>
    <w:rsid w:val="00CA3033"/>
    <w:rsid w:val="00CB6812"/>
    <w:rsid w:val="00CC70E3"/>
    <w:rsid w:val="00CE2BF1"/>
    <w:rsid w:val="00D07256"/>
    <w:rsid w:val="00D3281A"/>
    <w:rsid w:val="00D44742"/>
    <w:rsid w:val="00E5472F"/>
    <w:rsid w:val="00E7410A"/>
    <w:rsid w:val="00E90F0D"/>
    <w:rsid w:val="00E9784D"/>
    <w:rsid w:val="00ED2948"/>
    <w:rsid w:val="00F41167"/>
    <w:rsid w:val="00F86016"/>
    <w:rsid w:val="00F9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777EA-6CC0-4670-B5C0-81E0E3F2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CDB1-98A5-4480-844E-0AC2597C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22</cp:revision>
  <dcterms:created xsi:type="dcterms:W3CDTF">2015-03-17T18:02:00Z</dcterms:created>
  <dcterms:modified xsi:type="dcterms:W3CDTF">2015-03-25T22:45:00Z</dcterms:modified>
</cp:coreProperties>
</file>