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7BAB1" w14:textId="77777777" w:rsidR="00FA594A" w:rsidRPr="003B6CA7" w:rsidRDefault="002F7845" w:rsidP="003B6CA7">
      <w:pPr>
        <w:spacing w:line="480" w:lineRule="auto"/>
        <w:jc w:val="center"/>
        <w:rPr>
          <w:rFonts w:ascii="Times New Roman" w:hAnsi="Times New Roman" w:cs="Times New Roman"/>
          <w:sz w:val="32"/>
          <w:szCs w:val="32"/>
        </w:rPr>
      </w:pPr>
      <w:r w:rsidRPr="003B6CA7">
        <w:rPr>
          <w:rFonts w:ascii="Times New Roman" w:hAnsi="Times New Roman" w:cs="Times New Roman"/>
          <w:b/>
          <w:bCs/>
          <w:sz w:val="32"/>
          <w:szCs w:val="32"/>
        </w:rPr>
        <w:t>Forbes Global 2000</w:t>
      </w:r>
    </w:p>
    <w:p w14:paraId="3A6CBC39" w14:textId="05293F3B" w:rsidR="00FA594A" w:rsidRPr="003B6CA7" w:rsidRDefault="002F7845" w:rsidP="003B6CA7">
      <w:pPr>
        <w:spacing w:line="480" w:lineRule="auto"/>
        <w:jc w:val="center"/>
        <w:rPr>
          <w:rFonts w:ascii="Times New Roman" w:hAnsi="Times New Roman" w:cs="Times New Roman"/>
          <w:sz w:val="32"/>
          <w:szCs w:val="32"/>
        </w:rPr>
      </w:pPr>
      <w:r w:rsidRPr="003B6CA7">
        <w:rPr>
          <w:rFonts w:ascii="Times New Roman" w:hAnsi="Times New Roman" w:cs="Times New Roman"/>
          <w:sz w:val="32"/>
          <w:szCs w:val="32"/>
        </w:rPr>
        <w:t>Comprehensive Data Analysis</w:t>
      </w:r>
      <w:r w:rsidR="003B6CA7" w:rsidRPr="003B6CA7">
        <w:rPr>
          <w:rFonts w:ascii="Times New Roman" w:hAnsi="Times New Roman" w:cs="Times New Roman"/>
          <w:sz w:val="32"/>
          <w:szCs w:val="32"/>
        </w:rPr>
        <w:t xml:space="preserve"> </w:t>
      </w:r>
      <w:r w:rsidRPr="003B6CA7">
        <w:rPr>
          <w:rFonts w:ascii="Times New Roman" w:hAnsi="Times New Roman" w:cs="Times New Roman"/>
          <w:sz w:val="32"/>
          <w:szCs w:val="32"/>
        </w:rPr>
        <w:t>White Pape</w:t>
      </w:r>
      <w:r w:rsidR="003B6CA7">
        <w:rPr>
          <w:rFonts w:ascii="Times New Roman" w:hAnsi="Times New Roman" w:cs="Times New Roman"/>
          <w:sz w:val="32"/>
          <w:szCs w:val="32"/>
        </w:rPr>
        <w:t>r</w:t>
      </w:r>
    </w:p>
    <w:p w14:paraId="787D9BF0" w14:textId="77777777" w:rsidR="00FA594A" w:rsidRPr="003B6CA7" w:rsidRDefault="002F7845" w:rsidP="003B6CA7">
      <w:pPr>
        <w:pStyle w:val="Heading1"/>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Executive Summary</w:t>
      </w:r>
    </w:p>
    <w:p w14:paraId="05D4401A" w14:textId="09B73D3A"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 xml:space="preserve">This white paper presents a comprehensive analysis of the Forbes Global 2000 </w:t>
      </w:r>
      <w:r w:rsidR="003B6CA7" w:rsidRPr="003B6CA7">
        <w:rPr>
          <w:rFonts w:ascii="Times New Roman" w:hAnsi="Times New Roman" w:cs="Times New Roman"/>
        </w:rPr>
        <w:t>companies’</w:t>
      </w:r>
      <w:r w:rsidRPr="003B6CA7">
        <w:rPr>
          <w:rFonts w:ascii="Times New Roman" w:hAnsi="Times New Roman" w:cs="Times New Roman"/>
        </w:rPr>
        <w:t xml:space="preserve"> dataset, representing the world's largest and most influential public corporations. The analysis reveals critical insights into global economic concentration, industry d</w:t>
      </w:r>
      <w:r w:rsidRPr="003B6CA7">
        <w:rPr>
          <w:rFonts w:ascii="Times New Roman" w:hAnsi="Times New Roman" w:cs="Times New Roman"/>
        </w:rPr>
        <w:t>istribution, and geographic patterns of corporate wealth and productivity.</w:t>
      </w:r>
    </w:p>
    <w:p w14:paraId="3AABC6F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The dataset encompasses 2,000 companies across 61 headquarters locations and multiple industry sectors, collectively representing $242.17 trillion in total assets, $52.88 trillion i</w:t>
      </w:r>
      <w:r w:rsidRPr="003B6CA7">
        <w:rPr>
          <w:rFonts w:ascii="Times New Roman" w:hAnsi="Times New Roman" w:cs="Times New Roman"/>
        </w:rPr>
        <w:t>n sales revenue, $4.87 trillion in profit, and $89.3 trillion in market value. These figures underscore the massive scale and economic influence of these corporate entities in the global economy.</w:t>
      </w:r>
    </w:p>
    <w:p w14:paraId="6AFBC671"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Key Findings</w:t>
      </w:r>
    </w:p>
    <w:p w14:paraId="57F8D46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Geographic Concentration: The United States dom</w:t>
      </w:r>
      <w:r w:rsidRPr="003B6CA7">
        <w:rPr>
          <w:rFonts w:ascii="Times New Roman" w:hAnsi="Times New Roman" w:cs="Times New Roman"/>
        </w:rPr>
        <w:t>inates with 612 companies (30.6%), followed by China with 275 companies (13.8%) and Japan with 180 companies (9.0%). This tri-polar concentration reflects the world's major economic centers and their sustained competitive advantages in capital formation an</w:t>
      </w:r>
      <w:r w:rsidRPr="003B6CA7">
        <w:rPr>
          <w:rFonts w:ascii="Times New Roman" w:hAnsi="Times New Roman" w:cs="Times New Roman"/>
        </w:rPr>
        <w:t>d corporate development.</w:t>
      </w:r>
    </w:p>
    <w:p w14:paraId="7FF9A79E"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Industry Leadership: Banking emerges as the dominant sector with 326 companies, followed by Diversified Financials (113 companies) and Construction (96 companies). The financial services sector's dominance highlights the critical r</w:t>
      </w:r>
      <w:r w:rsidRPr="003B6CA7">
        <w:rPr>
          <w:rFonts w:ascii="Times New Roman" w:hAnsi="Times New Roman" w:cs="Times New Roman"/>
        </w:rPr>
        <w:t>ole of capital intermediation in the modern economy.</w:t>
      </w:r>
    </w:p>
    <w:p w14:paraId="27A052AF"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Market Value Distribution: The United States accounts for approximately 65.9% of total market value ($58.87T), demonstrating exceptional market premium and investor confidence. The IT Software &amp; Services</w:t>
      </w:r>
      <w:r w:rsidRPr="003B6CA7">
        <w:rPr>
          <w:rFonts w:ascii="Times New Roman" w:hAnsi="Times New Roman" w:cs="Times New Roman"/>
        </w:rPr>
        <w:t xml:space="preserve"> sector leads in market value ($13.3T), reflecting the digital economy's valuation premium over traditional industries.</w:t>
      </w:r>
    </w:p>
    <w:p w14:paraId="694F226C" w14:textId="1C990F58"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lastRenderedPageBreak/>
        <w:t>Profitability Leaders: Walmart leads in sales revenue ($681B), while individual companies like Amazon, Apple, and Saudi Arabian Oil demo</w:t>
      </w:r>
      <w:r w:rsidRPr="003B6CA7">
        <w:rPr>
          <w:rFonts w:ascii="Times New Roman" w:hAnsi="Times New Roman" w:cs="Times New Roman"/>
        </w:rPr>
        <w:t>nstrate exceptional sales performance. The profit-to-sales ratio across the dataset reveals significant variation in business model efficiency and competitive positioning.</w:t>
      </w:r>
    </w:p>
    <w:p w14:paraId="1BE88698" w14:textId="77777777" w:rsidR="00FA594A" w:rsidRPr="003B6CA7" w:rsidRDefault="002F7845" w:rsidP="003B6CA7">
      <w:pPr>
        <w:pStyle w:val="Heading1"/>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Methodology</w:t>
      </w:r>
    </w:p>
    <w:p w14:paraId="42802446"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 xml:space="preserve">This analysis is based on the Forbes Global 2000 dataset, which ranks </w:t>
      </w:r>
      <w:r w:rsidRPr="003B6CA7">
        <w:rPr>
          <w:rFonts w:ascii="Times New Roman" w:hAnsi="Times New Roman" w:cs="Times New Roman"/>
        </w:rPr>
        <w:t>companies based on a composite score derived from four key metrics: sales, profit, assets, and market value. The Forbes methodology employs equal weighting of these metrics to create a balanced assessment of corporate scale and performance.</w:t>
      </w:r>
    </w:p>
    <w:p w14:paraId="48FC6DF7"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Data Scope</w:t>
      </w:r>
    </w:p>
    <w:p w14:paraId="17138316"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 xml:space="preserve">The </w:t>
      </w:r>
      <w:r w:rsidRPr="003B6CA7">
        <w:rPr>
          <w:rFonts w:ascii="Times New Roman" w:hAnsi="Times New Roman" w:cs="Times New Roman"/>
        </w:rPr>
        <w:t>dataset examined includes 2,000 publicly traded companies spanning 61 different headquarters locations worldwide. Companies are categorized across multiple industry classifications, enabling sector-specific analysis and cross-industry comparisons.</w:t>
      </w:r>
    </w:p>
    <w:p w14:paraId="62989B1D"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Analytic</w:t>
      </w:r>
      <w:r w:rsidRPr="003B6CA7">
        <w:rPr>
          <w:rFonts w:ascii="Times New Roman" w:hAnsi="Times New Roman" w:cs="Times New Roman"/>
          <w:sz w:val="24"/>
          <w:szCs w:val="24"/>
        </w:rPr>
        <w:t>al Approach</w:t>
      </w:r>
    </w:p>
    <w:p w14:paraId="374EEE51" w14:textId="005D68FF" w:rsidR="00FA594A" w:rsidRDefault="002F7845" w:rsidP="003B6CA7">
      <w:pPr>
        <w:spacing w:line="480" w:lineRule="auto"/>
        <w:jc w:val="both"/>
        <w:rPr>
          <w:rFonts w:ascii="Times New Roman" w:hAnsi="Times New Roman" w:cs="Times New Roman"/>
        </w:rPr>
      </w:pPr>
      <w:r w:rsidRPr="003B6CA7">
        <w:rPr>
          <w:rFonts w:ascii="Times New Roman" w:hAnsi="Times New Roman" w:cs="Times New Roman"/>
        </w:rPr>
        <w:t>The analysis employed descriptive statistics and data visualization to identify patterns across geographic, industry, and performance dimensions. Key metrics analyzed include total assets, sales revenue, profit, and market value, both in aggreg</w:t>
      </w:r>
      <w:r w:rsidRPr="003B6CA7">
        <w:rPr>
          <w:rFonts w:ascii="Times New Roman" w:hAnsi="Times New Roman" w:cs="Times New Roman"/>
        </w:rPr>
        <w:t>ate and on a per-company basis.</w:t>
      </w:r>
    </w:p>
    <w:p w14:paraId="1A91B21D" w14:textId="77777777" w:rsidR="003B6CA7" w:rsidRPr="003B6CA7" w:rsidRDefault="003B6CA7" w:rsidP="003B6CA7">
      <w:pPr>
        <w:spacing w:line="480" w:lineRule="auto"/>
        <w:jc w:val="both"/>
        <w:rPr>
          <w:rFonts w:ascii="Times New Roman" w:hAnsi="Times New Roman" w:cs="Times New Roman"/>
        </w:rPr>
      </w:pPr>
    </w:p>
    <w:p w14:paraId="6A195883" w14:textId="77777777" w:rsidR="00FA594A" w:rsidRPr="003B6CA7" w:rsidRDefault="002F7845" w:rsidP="003B6CA7">
      <w:pPr>
        <w:pStyle w:val="Heading1"/>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Global Overview</w:t>
      </w:r>
    </w:p>
    <w:p w14:paraId="6965978B"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Aggregate Financial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A594A" w:rsidRPr="003B6CA7" w14:paraId="28AF6E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73964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59C38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Value</w:t>
            </w:r>
          </w:p>
        </w:tc>
      </w:tr>
      <w:tr w:rsidR="00FA594A" w:rsidRPr="003B6CA7" w14:paraId="4508C8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12D3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Total Assets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0FCA4"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$242.17 Trillion</w:t>
            </w:r>
          </w:p>
        </w:tc>
      </w:tr>
      <w:tr w:rsidR="00FA594A" w:rsidRPr="003B6CA7" w14:paraId="69A30E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8E39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lastRenderedPageBreak/>
              <w:t>Total Sales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083F4"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$52.88 Trillion</w:t>
            </w:r>
          </w:p>
        </w:tc>
      </w:tr>
      <w:tr w:rsidR="00FA594A" w:rsidRPr="003B6CA7" w14:paraId="0D8DBF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20614"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Total Profit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FF9C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$4.87 Trillion</w:t>
            </w:r>
          </w:p>
        </w:tc>
      </w:tr>
      <w:tr w:rsidR="00FA594A" w:rsidRPr="003B6CA7" w14:paraId="417039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86F8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Total Market Value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BB30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$89.3 Trillion</w:t>
            </w:r>
          </w:p>
        </w:tc>
      </w:tr>
      <w:tr w:rsidR="00FA594A" w:rsidRPr="003B6CA7" w14:paraId="551E53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9D7A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Number of Companies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32564"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2,000</w:t>
            </w:r>
          </w:p>
        </w:tc>
      </w:tr>
      <w:tr w:rsidR="00FA594A" w:rsidRPr="003B6CA7" w14:paraId="6591A2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A38E7"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Number of Headquarters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5B65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61</w:t>
            </w:r>
          </w:p>
        </w:tc>
      </w:tr>
    </w:tbl>
    <w:p w14:paraId="1F26AD56" w14:textId="77777777" w:rsidR="00FA594A" w:rsidRPr="003B6CA7" w:rsidRDefault="00FA594A" w:rsidP="003B6CA7">
      <w:pPr>
        <w:spacing w:line="480" w:lineRule="auto"/>
        <w:jc w:val="both"/>
        <w:rPr>
          <w:rFonts w:ascii="Times New Roman" w:hAnsi="Times New Roman" w:cs="Times New Roman"/>
        </w:rPr>
      </w:pPr>
    </w:p>
    <w:p w14:paraId="591331E1" w14:textId="5A3A8D63" w:rsidR="00FA594A" w:rsidRDefault="002F7845" w:rsidP="003B6CA7">
      <w:pPr>
        <w:spacing w:line="480" w:lineRule="auto"/>
        <w:jc w:val="both"/>
        <w:rPr>
          <w:rFonts w:ascii="Times New Roman" w:hAnsi="Times New Roman" w:cs="Times New Roman"/>
        </w:rPr>
      </w:pPr>
      <w:r w:rsidRPr="003B6CA7">
        <w:rPr>
          <w:rFonts w:ascii="Times New Roman" w:hAnsi="Times New Roman" w:cs="Times New Roman"/>
        </w:rPr>
        <w:t>The aggregate financial metrics reveal the extraordinary scale of these corporations. With combined assets of $242.17 trillion, these 2,000 companies control resources equivalent to approximately 2.5 times global GDP. The profit-to-sales ratio of 9.2% indi</w:t>
      </w:r>
      <w:r w:rsidRPr="003B6CA7">
        <w:rPr>
          <w:rFonts w:ascii="Times New Roman" w:hAnsi="Times New Roman" w:cs="Times New Roman"/>
        </w:rPr>
        <w:t>cates solid overall profitability, while the market value-to-assets ratio of 0.37 suggests conservative market valuations relative to asset bases, likely reflecting the capital-intensive nature of many included companies.</w:t>
      </w:r>
    </w:p>
    <w:p w14:paraId="134EEBE1" w14:textId="77777777" w:rsidR="003B6CA7" w:rsidRPr="003B6CA7" w:rsidRDefault="003B6CA7" w:rsidP="003B6CA7">
      <w:pPr>
        <w:spacing w:line="480" w:lineRule="auto"/>
        <w:jc w:val="both"/>
        <w:rPr>
          <w:rFonts w:ascii="Times New Roman" w:hAnsi="Times New Roman" w:cs="Times New Roman"/>
        </w:rPr>
      </w:pPr>
    </w:p>
    <w:p w14:paraId="506D7A86" w14:textId="77777777" w:rsidR="00FA594A" w:rsidRPr="003B6CA7" w:rsidRDefault="002F7845" w:rsidP="003B6CA7">
      <w:pPr>
        <w:pStyle w:val="Heading1"/>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Geographic Analysis</w:t>
      </w:r>
    </w:p>
    <w:p w14:paraId="13025534"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Company Distribution by Headquarters</w:t>
      </w:r>
    </w:p>
    <w:p w14:paraId="5B8B5C4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The geographic distribution of Forbes 2000 companies reveals significant concentration in a small number of countries, reflecting historical economic development patterns, regulatory environments con</w:t>
      </w:r>
      <w:r w:rsidRPr="003B6CA7">
        <w:rPr>
          <w:rFonts w:ascii="Times New Roman" w:hAnsi="Times New Roman" w:cs="Times New Roman"/>
        </w:rPr>
        <w:t>ducive to large-scale corporate formation, and access to capital markets.</w:t>
      </w:r>
    </w:p>
    <w:p w14:paraId="0C609020" w14:textId="77777777" w:rsidR="00FA594A" w:rsidRPr="003B6CA7" w:rsidRDefault="002F7845" w:rsidP="003B6CA7">
      <w:pPr>
        <w:pStyle w:val="Heading3"/>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Top 10 Countries by Company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FA594A" w:rsidRPr="003B6CA7" w14:paraId="4B797E63"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85DE2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Country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A8B01F"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Companies</w:t>
            </w:r>
          </w:p>
        </w:tc>
      </w:tr>
      <w:tr w:rsidR="00FA594A" w:rsidRPr="003B6CA7" w14:paraId="07DD0A5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26FD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United States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83BDC"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612</w:t>
            </w:r>
          </w:p>
        </w:tc>
      </w:tr>
      <w:tr w:rsidR="00FA594A" w:rsidRPr="003B6CA7" w14:paraId="02656434"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6867"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China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9105C"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275</w:t>
            </w:r>
          </w:p>
        </w:tc>
      </w:tr>
      <w:tr w:rsidR="00FA594A" w:rsidRPr="003B6CA7" w14:paraId="3182F226"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1DD03"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lastRenderedPageBreak/>
              <w:t>Japan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85F7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180</w:t>
            </w:r>
          </w:p>
        </w:tc>
      </w:tr>
      <w:tr w:rsidR="00FA594A" w:rsidRPr="003B6CA7" w14:paraId="72A61741"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0608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United Kingdom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3711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70</w:t>
            </w:r>
          </w:p>
        </w:tc>
      </w:tr>
      <w:tr w:rsidR="00FA594A" w:rsidRPr="003B6CA7" w14:paraId="0F0416E3"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716A4"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India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C7F8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66</w:t>
            </w:r>
          </w:p>
        </w:tc>
      </w:tr>
      <w:tr w:rsidR="00FA594A" w:rsidRPr="003B6CA7" w14:paraId="2B7184F2"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EBD96"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Canada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BE30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62</w:t>
            </w:r>
          </w:p>
        </w:tc>
      </w:tr>
      <w:tr w:rsidR="00FA594A" w:rsidRPr="003B6CA7" w14:paraId="1D840994"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605FD"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South Korea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9F17"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60</w:t>
            </w:r>
          </w:p>
        </w:tc>
      </w:tr>
      <w:tr w:rsidR="00FA594A" w:rsidRPr="003B6CA7" w14:paraId="7C7B1884"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02C88"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France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95F56"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47</w:t>
            </w:r>
          </w:p>
        </w:tc>
      </w:tr>
      <w:tr w:rsidR="00FA594A" w:rsidRPr="003B6CA7" w14:paraId="0E9538B2"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87B96"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Germany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9F83E"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45</w:t>
            </w:r>
          </w:p>
        </w:tc>
      </w:tr>
      <w:tr w:rsidR="00FA594A" w:rsidRPr="003B6CA7" w14:paraId="314BB77B"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CB3CC"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Australia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A564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42</w:t>
            </w:r>
          </w:p>
        </w:tc>
      </w:tr>
    </w:tbl>
    <w:p w14:paraId="40CAC88B" w14:textId="77777777" w:rsidR="00FA594A" w:rsidRPr="003B6CA7" w:rsidRDefault="00FA594A" w:rsidP="003B6CA7">
      <w:pPr>
        <w:spacing w:line="480" w:lineRule="auto"/>
        <w:jc w:val="both"/>
        <w:rPr>
          <w:rFonts w:ascii="Times New Roman" w:hAnsi="Times New Roman" w:cs="Times New Roman"/>
        </w:rPr>
      </w:pPr>
    </w:p>
    <w:p w14:paraId="3E7C54B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The United States accounts for 30.6% of all Forbes 2000 companies, nearly double China's 13.8% share despite China's larger population. This disparity reflects the maturity of U.S. capital markets, strong institutional frameworks for corpora</w:t>
      </w:r>
      <w:r w:rsidRPr="003B6CA7">
        <w:rPr>
          <w:rFonts w:ascii="Times New Roman" w:hAnsi="Times New Roman" w:cs="Times New Roman"/>
        </w:rPr>
        <w:t>te governance, and the historical advantage of early industrialization. Japan's third-place position with 180 companies (9.0%) demonstrates the sustained strength of its post-war economic development model.</w:t>
      </w:r>
    </w:p>
    <w:p w14:paraId="42C9B5C2"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Market Value Concentration</w:t>
      </w:r>
    </w:p>
    <w:p w14:paraId="4F4EBACD"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Market value distribution reveals even more dramatic concentration than company count. The United States commands approximately 65.9% of total market value ($58.87T out of $89.3T), demonstrating extraordinary market premium. This</w:t>
      </w:r>
      <w:r w:rsidRPr="003B6CA7">
        <w:rPr>
          <w:rFonts w:ascii="Times New Roman" w:hAnsi="Times New Roman" w:cs="Times New Roman"/>
        </w:rPr>
        <w:t xml:space="preserve"> suggests that U.S.-based companies command higher valuations relative to their asset bases and earnings, reflecting investor confidence, growth expectations, and potentially the dominance of high-growth technology companies in U.S.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FA594A" w:rsidRPr="003B6CA7" w14:paraId="51894AA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6136D2"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lastRenderedPageBreak/>
              <w:t>Country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80E2C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 of T</w:t>
            </w:r>
            <w:r w:rsidRPr="003B6CA7">
              <w:rPr>
                <w:rFonts w:ascii="Times New Roman" w:hAnsi="Times New Roman" w:cs="Times New Roman"/>
                <w:b/>
                <w:bCs/>
              </w:rPr>
              <w:t>otal</w:t>
            </w:r>
          </w:p>
        </w:tc>
      </w:tr>
      <w:tr w:rsidR="00FA594A" w:rsidRPr="003B6CA7" w14:paraId="78FFE0F4"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2D34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United States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EF027"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65.9%</w:t>
            </w:r>
          </w:p>
        </w:tc>
      </w:tr>
      <w:tr w:rsidR="00FA594A" w:rsidRPr="003B6CA7" w14:paraId="4D37D2CD"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5FA36"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China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CAFF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14.02%</w:t>
            </w:r>
          </w:p>
        </w:tc>
      </w:tr>
      <w:tr w:rsidR="00FA594A" w:rsidRPr="003B6CA7" w14:paraId="2C59384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ED92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Others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E002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7.95%</w:t>
            </w:r>
          </w:p>
        </w:tc>
      </w:tr>
      <w:tr w:rsidR="00FA594A" w:rsidRPr="003B6CA7" w14:paraId="53181B0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0E0B8"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Japan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9E662"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4.58%</w:t>
            </w:r>
          </w:p>
        </w:tc>
      </w:tr>
    </w:tbl>
    <w:p w14:paraId="3C903C59" w14:textId="52C57AE1" w:rsidR="00FA594A" w:rsidRPr="003B6CA7" w:rsidRDefault="00FA594A" w:rsidP="003B6CA7">
      <w:pPr>
        <w:spacing w:line="480" w:lineRule="auto"/>
        <w:jc w:val="both"/>
        <w:rPr>
          <w:rFonts w:ascii="Times New Roman" w:hAnsi="Times New Roman" w:cs="Times New Roman"/>
        </w:rPr>
      </w:pPr>
    </w:p>
    <w:p w14:paraId="0468028B" w14:textId="77777777" w:rsidR="00FA594A" w:rsidRPr="003B6CA7" w:rsidRDefault="002F7845" w:rsidP="003B6CA7">
      <w:pPr>
        <w:pStyle w:val="Heading1"/>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Industry Analysis</w:t>
      </w:r>
    </w:p>
    <w:p w14:paraId="25364AAA"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Company Distribution by Industry</w:t>
      </w:r>
    </w:p>
    <w:p w14:paraId="2EDB3021"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 xml:space="preserve">Industry distribution analysis reveals the sectoral composition of global corporate power. Banking dominates with 326 companies (16.3% of total), reflecting the critical role of financial intermediation in modern economies and the capital-intensive nature </w:t>
      </w:r>
      <w:r w:rsidRPr="003B6CA7">
        <w:rPr>
          <w:rFonts w:ascii="Times New Roman" w:hAnsi="Times New Roman" w:cs="Times New Roman"/>
        </w:rPr>
        <w:t>of banking that supports large-scale operations.</w:t>
      </w:r>
    </w:p>
    <w:p w14:paraId="29D229B2" w14:textId="77777777" w:rsidR="00FA594A" w:rsidRPr="003B6CA7" w:rsidRDefault="002F7845" w:rsidP="003B6CA7">
      <w:pPr>
        <w:pStyle w:val="Heading3"/>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Top 15 Industries by Company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FA594A" w:rsidRPr="003B6CA7" w14:paraId="079E35C0"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9664F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Industry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ACF0C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Companies</w:t>
            </w:r>
          </w:p>
        </w:tc>
      </w:tr>
      <w:tr w:rsidR="00FA594A" w:rsidRPr="003B6CA7" w14:paraId="40C9CAC6"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0BB5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Banking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032CD"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326</w:t>
            </w:r>
          </w:p>
        </w:tc>
      </w:tr>
      <w:tr w:rsidR="00FA594A" w:rsidRPr="003B6CA7" w14:paraId="27B4E04C"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E1C7"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Diversified Financials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64C9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113</w:t>
            </w:r>
          </w:p>
        </w:tc>
      </w:tr>
      <w:tr w:rsidR="00FA594A" w:rsidRPr="003B6CA7" w14:paraId="48BC49D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D9A3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Construction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27C02"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96</w:t>
            </w:r>
          </w:p>
        </w:tc>
      </w:tr>
      <w:tr w:rsidR="00FA594A" w:rsidRPr="003B6CA7" w14:paraId="4493EF7E"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AAE2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Insurance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6F1B7"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94</w:t>
            </w:r>
          </w:p>
        </w:tc>
      </w:tr>
      <w:tr w:rsidR="00FA594A" w:rsidRPr="003B6CA7" w14:paraId="06D4388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791D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Oil &amp; Gas Operations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28926"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83</w:t>
            </w:r>
          </w:p>
        </w:tc>
      </w:tr>
      <w:tr w:rsidR="00FA594A" w:rsidRPr="003B6CA7" w14:paraId="6555D58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0542"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lastRenderedPageBreak/>
              <w:t>Retailing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B7EA2"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85</w:t>
            </w:r>
          </w:p>
        </w:tc>
      </w:tr>
      <w:tr w:rsidR="00FA594A" w:rsidRPr="003B6CA7" w14:paraId="69B4469F"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DA397"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Trading Companies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9A1E3"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64</w:t>
            </w:r>
          </w:p>
        </w:tc>
      </w:tr>
      <w:tr w:rsidR="00FA594A" w:rsidRPr="003B6CA7" w14:paraId="290B7C2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634B4"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Chemicals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0A94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75</w:t>
            </w:r>
          </w:p>
        </w:tc>
      </w:tr>
    </w:tbl>
    <w:p w14:paraId="38A70989" w14:textId="77777777" w:rsidR="00FA594A" w:rsidRPr="003B6CA7" w:rsidRDefault="00FA594A" w:rsidP="003B6CA7">
      <w:pPr>
        <w:spacing w:line="480" w:lineRule="auto"/>
        <w:jc w:val="both"/>
        <w:rPr>
          <w:rFonts w:ascii="Times New Roman" w:hAnsi="Times New Roman" w:cs="Times New Roman"/>
        </w:rPr>
      </w:pPr>
    </w:p>
    <w:p w14:paraId="7B25A209"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Market Value by Industry</w:t>
      </w:r>
    </w:p>
    <w:p w14:paraId="6DC6283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The market value distribution by industry reveals a stark contrast with company count distribution. IT Software &amp; Services leads with $13.3 trillion in market value despite having far fewer companies than banking. This premium valu</w:t>
      </w:r>
      <w:r w:rsidRPr="003B6CA7">
        <w:rPr>
          <w:rFonts w:ascii="Times New Roman" w:hAnsi="Times New Roman" w:cs="Times New Roman"/>
        </w:rPr>
        <w:t>ation reflects investor appetite for technology platforms with high growth potential, network effects, and scalable business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0"/>
        <w:gridCol w:w="3750"/>
      </w:tblGrid>
      <w:tr w:rsidR="00FA594A" w:rsidRPr="003B6CA7" w14:paraId="6B90104F" w14:textId="77777777">
        <w:tblPrEx>
          <w:tblCellMar>
            <w:top w:w="0" w:type="dxa"/>
            <w:bottom w:w="0" w:type="dxa"/>
          </w:tblCellMar>
        </w:tblPrEx>
        <w:tc>
          <w:tcPr>
            <w:tcW w:w="56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024E1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Industry</w:t>
            </w:r>
          </w:p>
        </w:tc>
        <w:tc>
          <w:tcPr>
            <w:tcW w:w="375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7B203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Market Value</w:t>
            </w:r>
          </w:p>
        </w:tc>
      </w:tr>
      <w:tr w:rsidR="00FA594A" w:rsidRPr="003B6CA7" w14:paraId="4A796E1F" w14:textId="77777777">
        <w:tblPrEx>
          <w:tblCellMar>
            <w:top w:w="0" w:type="dxa"/>
            <w:bottom w:w="0" w:type="dxa"/>
          </w:tblCellMar>
        </w:tblPrEx>
        <w:tc>
          <w:tcPr>
            <w:tcW w:w="5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E8C3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IT Software &amp; Services</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6773E"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$13.3T</w:t>
            </w:r>
          </w:p>
        </w:tc>
      </w:tr>
      <w:tr w:rsidR="00FA594A" w:rsidRPr="003B6CA7" w14:paraId="1C6D785D" w14:textId="77777777">
        <w:tblPrEx>
          <w:tblCellMar>
            <w:top w:w="0" w:type="dxa"/>
            <w:bottom w:w="0" w:type="dxa"/>
          </w:tblCellMar>
        </w:tblPrEx>
        <w:tc>
          <w:tcPr>
            <w:tcW w:w="5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28AF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Banking</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A925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$9.9T</w:t>
            </w:r>
          </w:p>
        </w:tc>
      </w:tr>
      <w:tr w:rsidR="00FA594A" w:rsidRPr="003B6CA7" w14:paraId="6D71C6C1" w14:textId="77777777">
        <w:tblPrEx>
          <w:tblCellMar>
            <w:top w:w="0" w:type="dxa"/>
            <w:bottom w:w="0" w:type="dxa"/>
          </w:tblCellMar>
        </w:tblPrEx>
        <w:tc>
          <w:tcPr>
            <w:tcW w:w="56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5051"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Drugs &amp; Biotechnology</w:t>
            </w:r>
          </w:p>
        </w:tc>
        <w:tc>
          <w:tcPr>
            <w:tcW w:w="3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906AD"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$4.9T</w:t>
            </w:r>
          </w:p>
        </w:tc>
      </w:tr>
    </w:tbl>
    <w:p w14:paraId="56A80C29" w14:textId="7D07EAB1" w:rsidR="00FA594A" w:rsidRPr="003B6CA7" w:rsidRDefault="00FA594A" w:rsidP="003B6CA7">
      <w:pPr>
        <w:spacing w:line="480" w:lineRule="auto"/>
        <w:jc w:val="both"/>
        <w:rPr>
          <w:rFonts w:ascii="Times New Roman" w:hAnsi="Times New Roman" w:cs="Times New Roman"/>
        </w:rPr>
      </w:pPr>
    </w:p>
    <w:p w14:paraId="07E7569E" w14:textId="77777777" w:rsidR="00FA594A" w:rsidRPr="003B6CA7" w:rsidRDefault="002F7845" w:rsidP="003B6CA7">
      <w:pPr>
        <w:pStyle w:val="Heading1"/>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Performance Analysis</w:t>
      </w:r>
    </w:p>
    <w:p w14:paraId="50F29715"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Top Companies by Sales Revenue</w:t>
      </w:r>
    </w:p>
    <w:p w14:paraId="059AD68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Sales revenue analysis identifies the companies with the largest market reach and transaction volumes. Walmart leads with $681 billion in annual sales, demonstrating the continued relevance of traditional</w:t>
      </w:r>
      <w:r w:rsidRPr="003B6CA7">
        <w:rPr>
          <w:rFonts w:ascii="Times New Roman" w:hAnsi="Times New Roman" w:cs="Times New Roman"/>
        </w:rPr>
        <w:t xml:space="preserve"> retail at scale despite e-commerce disruption.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FA594A" w:rsidRPr="003B6CA7" w14:paraId="6EFCA532"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23A61F"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Company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A8C0E4"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Sales</w:t>
            </w:r>
          </w:p>
        </w:tc>
      </w:tr>
      <w:tr w:rsidR="00FA594A" w:rsidRPr="003B6CA7" w14:paraId="2E85D59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A5C1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lastRenderedPageBreak/>
              <w:t>Walmart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C7C3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$681B</w:t>
            </w:r>
          </w:p>
        </w:tc>
      </w:tr>
      <w:tr w:rsidR="00FA594A" w:rsidRPr="003B6CA7" w14:paraId="75A6EB03"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007F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Amazon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EE0E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$641B</w:t>
            </w:r>
          </w:p>
        </w:tc>
      </w:tr>
      <w:tr w:rsidR="00FA594A" w:rsidRPr="003B6CA7" w14:paraId="3AF3FECC"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2BDE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Saudi Arabian Oil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C931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$486B</w:t>
            </w:r>
          </w:p>
        </w:tc>
      </w:tr>
      <w:tr w:rsidR="00FA594A" w:rsidRPr="003B6CA7" w14:paraId="6AECE82A"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2B45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Apple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D84CF"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$411B</w:t>
            </w:r>
          </w:p>
        </w:tc>
      </w:tr>
      <w:tr w:rsidR="00FA594A" w:rsidRPr="003B6CA7" w14:paraId="7CFB83F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393D6"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Sinopec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B46E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$401B</w:t>
            </w:r>
          </w:p>
        </w:tc>
      </w:tr>
    </w:tbl>
    <w:p w14:paraId="5802DDEB" w14:textId="77777777" w:rsidR="00FA594A" w:rsidRPr="003B6CA7" w:rsidRDefault="00FA594A" w:rsidP="003B6CA7">
      <w:pPr>
        <w:spacing w:line="480" w:lineRule="auto"/>
        <w:jc w:val="both"/>
        <w:rPr>
          <w:rFonts w:ascii="Times New Roman" w:hAnsi="Times New Roman" w:cs="Times New Roman"/>
        </w:rPr>
      </w:pPr>
    </w:p>
    <w:p w14:paraId="010860F5"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Top Companies by Assets</w:t>
      </w:r>
    </w:p>
    <w:p w14:paraId="397C4FA7"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Asset concentration reveals the capital-intensive nature of certain industries. Financial institutions and state-backed entities dominate the top positions, with ICBC (Industrial and Commercial Bank of China) holding $6.2 trillion in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FA594A" w:rsidRPr="003B6CA7" w14:paraId="1C75324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08796E"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Company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276C5E"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b/>
                <w:bCs/>
              </w:rPr>
              <w:t>Assets</w:t>
            </w:r>
          </w:p>
        </w:tc>
      </w:tr>
      <w:tr w:rsidR="00FA594A" w:rsidRPr="003B6CA7" w14:paraId="0FAC7A78"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6CFC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ICBC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E7E3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$6.2T</w:t>
            </w:r>
          </w:p>
        </w:tc>
      </w:tr>
      <w:tr w:rsidR="00FA594A" w:rsidRPr="003B6CA7" w14:paraId="48A833D5"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2FE72"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Agricultural Bank of China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845BD"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$5.9T</w:t>
            </w:r>
          </w:p>
        </w:tc>
      </w:tr>
      <w:tr w:rsidR="00FA594A" w:rsidRPr="003B6CA7" w14:paraId="388E04F2"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959D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China Construction Bank</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8FA7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$5.6T</w:t>
            </w:r>
          </w:p>
        </w:tc>
      </w:tr>
      <w:tr w:rsidR="00FA594A" w:rsidRPr="003B6CA7" w14:paraId="644435D2"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07D9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Bank of China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F2D92"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$4.9T</w:t>
            </w:r>
          </w:p>
        </w:tc>
      </w:tr>
      <w:tr w:rsidR="00FA594A" w:rsidRPr="003B6CA7" w14:paraId="3F8652D9" w14:textId="77777777">
        <w:tblPrEx>
          <w:tblCellMar>
            <w:top w:w="0" w:type="dxa"/>
            <w:bottom w:w="0" w:type="dxa"/>
          </w:tblCellMar>
        </w:tblPrEx>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195D4"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JPMorganChase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DA601"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$4.3T</w:t>
            </w:r>
          </w:p>
        </w:tc>
      </w:tr>
    </w:tbl>
    <w:p w14:paraId="1F252A8C" w14:textId="77777777" w:rsidR="00FA594A" w:rsidRPr="003B6CA7" w:rsidRDefault="00FA594A" w:rsidP="003B6CA7">
      <w:pPr>
        <w:spacing w:line="480" w:lineRule="auto"/>
        <w:jc w:val="both"/>
        <w:rPr>
          <w:rFonts w:ascii="Times New Roman" w:hAnsi="Times New Roman" w:cs="Times New Roman"/>
        </w:rPr>
      </w:pPr>
    </w:p>
    <w:p w14:paraId="6FDDFCEC"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Profitability Analysis</w:t>
      </w:r>
    </w:p>
    <w:p w14:paraId="323CCF3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 xml:space="preserve">The aggregate profit-to-sales ratio across all Forbes 2000 companies stands at 9.2%, indicating solid overall profitability. However, this figure masks significant variation across industries and </w:t>
      </w:r>
      <w:r w:rsidRPr="003B6CA7">
        <w:rPr>
          <w:rFonts w:ascii="Times New Roman" w:hAnsi="Times New Roman" w:cs="Times New Roman"/>
        </w:rPr>
        <w:lastRenderedPageBreak/>
        <w:t>individual companies. Technology companies typically achieve</w:t>
      </w:r>
      <w:r w:rsidRPr="003B6CA7">
        <w:rPr>
          <w:rFonts w:ascii="Times New Roman" w:hAnsi="Times New Roman" w:cs="Times New Roman"/>
        </w:rPr>
        <w:t xml:space="preserve"> higher margins through scalable platforms and intellectual property advantages, while commodity and retail businesses operate on thinner margins with higher volume requirements.</w:t>
      </w:r>
    </w:p>
    <w:p w14:paraId="61E53C2D" w14:textId="33C38A27" w:rsidR="00FA594A" w:rsidRPr="003B6CA7" w:rsidRDefault="00FA594A" w:rsidP="003B6CA7">
      <w:pPr>
        <w:spacing w:line="480" w:lineRule="auto"/>
        <w:jc w:val="both"/>
        <w:rPr>
          <w:rFonts w:ascii="Times New Roman" w:hAnsi="Times New Roman" w:cs="Times New Roman"/>
        </w:rPr>
      </w:pPr>
    </w:p>
    <w:p w14:paraId="32427F16" w14:textId="77777777" w:rsidR="00FA594A" w:rsidRPr="003B6CA7" w:rsidRDefault="002F7845" w:rsidP="003B6CA7">
      <w:pPr>
        <w:pStyle w:val="Heading1"/>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Strategic Implications</w:t>
      </w:r>
    </w:p>
    <w:p w14:paraId="3C1248AF"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Economic Power Concentration</w:t>
      </w:r>
    </w:p>
    <w:p w14:paraId="247B2550"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The geographic and indu</w:t>
      </w:r>
      <w:r w:rsidRPr="003B6CA7">
        <w:rPr>
          <w:rFonts w:ascii="Times New Roman" w:hAnsi="Times New Roman" w:cs="Times New Roman"/>
        </w:rPr>
        <w:t xml:space="preserve">stry concentration observed in this analysis has profound implications for global economic governance, competitive dynamics, and policy formation. The United States' commanding position in both company count and market value suggests sustained competitive </w:t>
      </w:r>
      <w:r w:rsidRPr="003B6CA7">
        <w:rPr>
          <w:rFonts w:ascii="Times New Roman" w:hAnsi="Times New Roman" w:cs="Times New Roman"/>
        </w:rPr>
        <w:t>advantages in innovation ecosystems, capital formation mechanisms, and institutional frameworks that support large-scale corporate growth.</w:t>
      </w:r>
    </w:p>
    <w:p w14:paraId="2353295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China's rapid ascent to second position with 275 companies reflects deliberate industrial policy, massive domestic ma</w:t>
      </w:r>
      <w:r w:rsidRPr="003B6CA7">
        <w:rPr>
          <w:rFonts w:ascii="Times New Roman" w:hAnsi="Times New Roman" w:cs="Times New Roman"/>
        </w:rPr>
        <w:t>rket scale, and strategic capital deployment. However, the significant gap between China's share of companies and its share of market value suggests potential undervaluation or alternatively indicates different business models with lower margin profiles an</w:t>
      </w:r>
      <w:r w:rsidRPr="003B6CA7">
        <w:rPr>
          <w:rFonts w:ascii="Times New Roman" w:hAnsi="Times New Roman" w:cs="Times New Roman"/>
        </w:rPr>
        <w:t>d asset-intensive operations.</w:t>
      </w:r>
    </w:p>
    <w:p w14:paraId="48656F5B"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Sectoral Transformation</w:t>
      </w:r>
    </w:p>
    <w:p w14:paraId="766DC8DA"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The valuation premium commanded by technology companies despite lower representation by count signals ongoing sectoral transformation. IT Software &amp; Services' market value leadership demonstrates invest</w:t>
      </w:r>
      <w:r w:rsidRPr="003B6CA7">
        <w:rPr>
          <w:rFonts w:ascii="Times New Roman" w:hAnsi="Times New Roman" w:cs="Times New Roman"/>
        </w:rPr>
        <w:t>or recognition of platform economics, network effects, and the scalability advantages inherent in digital business models.</w:t>
      </w:r>
    </w:p>
    <w:p w14:paraId="6CBF4861"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Traditional industries like banking, despite numerical dominance, face valuation pressure from regulatory constraints, capital requir</w:t>
      </w:r>
      <w:r w:rsidRPr="003B6CA7">
        <w:rPr>
          <w:rFonts w:ascii="Times New Roman" w:hAnsi="Times New Roman" w:cs="Times New Roman"/>
        </w:rPr>
        <w:t xml:space="preserve">ements, and competitive threats from fintech disruption. The </w:t>
      </w:r>
      <w:r w:rsidRPr="003B6CA7">
        <w:rPr>
          <w:rFonts w:ascii="Times New Roman" w:hAnsi="Times New Roman" w:cs="Times New Roman"/>
        </w:rPr>
        <w:lastRenderedPageBreak/>
        <w:t>persistence of banking's company count advantage suggests barriers to entry and relationship advantages that sustain incumbent positions even as growth prospects moderate.</w:t>
      </w:r>
    </w:p>
    <w:p w14:paraId="0148B4BE"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Investment Consideratio</w:t>
      </w:r>
      <w:r w:rsidRPr="003B6CA7">
        <w:rPr>
          <w:rFonts w:ascii="Times New Roman" w:hAnsi="Times New Roman" w:cs="Times New Roman"/>
          <w:sz w:val="24"/>
          <w:szCs w:val="24"/>
        </w:rPr>
        <w:t>ns</w:t>
      </w:r>
    </w:p>
    <w:p w14:paraId="5D4A881B"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For investors, the disparity between company count and market value across industries and geographies presents both opportunities and risks. Markets appear to price technology platforms at substantial premiums, suggesting either exceptional growth expec</w:t>
      </w:r>
      <w:r w:rsidRPr="003B6CA7">
        <w:rPr>
          <w:rFonts w:ascii="Times New Roman" w:hAnsi="Times New Roman" w:cs="Times New Roman"/>
        </w:rPr>
        <w:t>tations or potential overvaluation. Conversely, traditional industrial and financial companies may offer value opportunities if fundamental earnings power exceeds market recognition.</w:t>
      </w:r>
    </w:p>
    <w:p w14:paraId="0F545EA9"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Geographic diversification considerations must account for regulatory dif</w:t>
      </w:r>
      <w:r w:rsidRPr="003B6CA7">
        <w:rPr>
          <w:rFonts w:ascii="Times New Roman" w:hAnsi="Times New Roman" w:cs="Times New Roman"/>
        </w:rPr>
        <w:t>ferences, governance standards, and market liquidity variations. The concentration of market value in U.S. companies reflects not only corporate performance but also deep capital markets, strong property rights protection, and transparent disclosure regime</w:t>
      </w:r>
      <w:r w:rsidRPr="003B6CA7">
        <w:rPr>
          <w:rFonts w:ascii="Times New Roman" w:hAnsi="Times New Roman" w:cs="Times New Roman"/>
        </w:rPr>
        <w:t>s that reduce information asymmetry and support higher valuations.</w:t>
      </w:r>
    </w:p>
    <w:p w14:paraId="32C03916" w14:textId="6F97CBC3" w:rsidR="00FA594A" w:rsidRPr="003B6CA7" w:rsidRDefault="00FA594A" w:rsidP="003B6CA7">
      <w:pPr>
        <w:spacing w:line="480" w:lineRule="auto"/>
        <w:jc w:val="both"/>
        <w:rPr>
          <w:rFonts w:ascii="Times New Roman" w:hAnsi="Times New Roman" w:cs="Times New Roman"/>
        </w:rPr>
      </w:pPr>
    </w:p>
    <w:p w14:paraId="135AC39B" w14:textId="77777777" w:rsidR="00FA594A" w:rsidRPr="003B6CA7" w:rsidRDefault="002F7845" w:rsidP="003B6CA7">
      <w:pPr>
        <w:pStyle w:val="Heading1"/>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Conclusions</w:t>
      </w:r>
    </w:p>
    <w:p w14:paraId="1C0ED72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The Forbes Global 2000 analysis reveals a global corporate landscape characterized by significant concentration in a small number of countries and industries. The United State</w:t>
      </w:r>
      <w:r w:rsidRPr="003B6CA7">
        <w:rPr>
          <w:rFonts w:ascii="Times New Roman" w:hAnsi="Times New Roman" w:cs="Times New Roman"/>
        </w:rPr>
        <w:t>s maintains dominant position with 30.6% of companies and 65.9% of total market value, reflecting sustained competitive advantages in innovation, capital markets, and institutional frameworks.</w:t>
      </w:r>
    </w:p>
    <w:p w14:paraId="00606503"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Industry analysis demonstrates the ongoing sectoral transformat</w:t>
      </w:r>
      <w:r w:rsidRPr="003B6CA7">
        <w:rPr>
          <w:rFonts w:ascii="Times New Roman" w:hAnsi="Times New Roman" w:cs="Times New Roman"/>
        </w:rPr>
        <w:t>ion from traditional manufacturing and resource extraction toward digital platforms and knowledge-intensive services. Technology companies command premium valuations despite lower representation by count, suggesting market recognition of scalability advant</w:t>
      </w:r>
      <w:r w:rsidRPr="003B6CA7">
        <w:rPr>
          <w:rFonts w:ascii="Times New Roman" w:hAnsi="Times New Roman" w:cs="Times New Roman"/>
        </w:rPr>
        <w:t>ages and growth potential.</w:t>
      </w:r>
    </w:p>
    <w:p w14:paraId="0D0FCAE8"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lastRenderedPageBreak/>
        <w:t xml:space="preserve">The $242.17 trillion in aggregate assets, $52.88 trillion in sales, and $4.87 trillion in profit generated by these 2,000 companies underscore their massive economic influence. These corporations shape employment patterns, drive </w:t>
      </w:r>
      <w:r w:rsidRPr="003B6CA7">
        <w:rPr>
          <w:rFonts w:ascii="Times New Roman" w:hAnsi="Times New Roman" w:cs="Times New Roman"/>
        </w:rPr>
        <w:t>technological innovation, influence policy formation, and determine capital allocation across the global economy.</w:t>
      </w:r>
    </w:p>
    <w:p w14:paraId="31E7DD3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 xml:space="preserve">Future research should examine temporal trends in these patterns, assess the sustainability of current concentration levels, and evaluate the </w:t>
      </w:r>
      <w:r w:rsidRPr="003B6CA7">
        <w:rPr>
          <w:rFonts w:ascii="Times New Roman" w:hAnsi="Times New Roman" w:cs="Times New Roman"/>
        </w:rPr>
        <w:t>implications for economic development in emerging markets seeking to develop globally competitive corporate champions. Additionally, deeper analysis of the relationship between corporate structure, governance models, and market valuation could yield insigh</w:t>
      </w:r>
      <w:r w:rsidRPr="003B6CA7">
        <w:rPr>
          <w:rFonts w:ascii="Times New Roman" w:hAnsi="Times New Roman" w:cs="Times New Roman"/>
        </w:rPr>
        <w:t>ts into optimal organizational forms for different industries and markets.</w:t>
      </w:r>
    </w:p>
    <w:p w14:paraId="271E0194" w14:textId="2D70F0A0" w:rsidR="00FA594A" w:rsidRPr="003B6CA7" w:rsidRDefault="00FA594A" w:rsidP="003B6CA7">
      <w:pPr>
        <w:spacing w:line="480" w:lineRule="auto"/>
        <w:jc w:val="both"/>
        <w:rPr>
          <w:rFonts w:ascii="Times New Roman" w:hAnsi="Times New Roman" w:cs="Times New Roman"/>
        </w:rPr>
      </w:pPr>
    </w:p>
    <w:p w14:paraId="452F525C" w14:textId="77777777" w:rsidR="00FA594A" w:rsidRPr="003B6CA7" w:rsidRDefault="002F7845" w:rsidP="003B6CA7">
      <w:pPr>
        <w:pStyle w:val="Heading1"/>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Appendix: Data Sources and Limitations</w:t>
      </w:r>
    </w:p>
    <w:p w14:paraId="43776F79"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Data Sources</w:t>
      </w:r>
    </w:p>
    <w:p w14:paraId="57FC413C"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This analysis is based on the Forbes Global 2000 dataset, which aggregates publicly available financial information on the worl</w:t>
      </w:r>
      <w:r w:rsidRPr="003B6CA7">
        <w:rPr>
          <w:rFonts w:ascii="Times New Roman" w:hAnsi="Times New Roman" w:cs="Times New Roman"/>
        </w:rPr>
        <w:t>d's largest public companies. Forbes compiles this ranking annually based on a composite methodology incorporating sales revenue, profit, assets, and market value.</w:t>
      </w:r>
    </w:p>
    <w:p w14:paraId="035F7131" w14:textId="77777777" w:rsidR="00FA594A" w:rsidRPr="003B6CA7" w:rsidRDefault="002F7845" w:rsidP="003B6CA7">
      <w:pPr>
        <w:pStyle w:val="Heading2"/>
        <w:spacing w:before="0" w:after="0" w:line="480" w:lineRule="auto"/>
        <w:jc w:val="both"/>
        <w:rPr>
          <w:rFonts w:ascii="Times New Roman" w:hAnsi="Times New Roman" w:cs="Times New Roman"/>
          <w:sz w:val="24"/>
          <w:szCs w:val="24"/>
        </w:rPr>
      </w:pPr>
      <w:r w:rsidRPr="003B6CA7">
        <w:rPr>
          <w:rFonts w:ascii="Times New Roman" w:hAnsi="Times New Roman" w:cs="Times New Roman"/>
          <w:sz w:val="24"/>
          <w:szCs w:val="24"/>
        </w:rPr>
        <w:t>Limitations</w:t>
      </w:r>
    </w:p>
    <w:p w14:paraId="7F8628D5"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Several important limitations should be acknowledged when interpreting these fin</w:t>
      </w:r>
      <w:r w:rsidRPr="003B6CA7">
        <w:rPr>
          <w:rFonts w:ascii="Times New Roman" w:hAnsi="Times New Roman" w:cs="Times New Roman"/>
        </w:rPr>
        <w:t>dings. First, the Forbes 2000 includes only publicly traded companies, excluding large privately held corporations and state-owned enterprises that may not report comprehensive financial data. This limitation may understate the true scale of corporate conc</w:t>
      </w:r>
      <w:r w:rsidRPr="003B6CA7">
        <w:rPr>
          <w:rFonts w:ascii="Times New Roman" w:hAnsi="Times New Roman" w:cs="Times New Roman"/>
        </w:rPr>
        <w:t>entration in certain economies, particularly those with significant state ownership.</w:t>
      </w:r>
    </w:p>
    <w:p w14:paraId="58D970E2"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lastRenderedPageBreak/>
        <w:t xml:space="preserve">Second, currency fluctuations and accounting standard differences across jurisdictions may affect comparability of financial metrics. While Forbes attempts to standardize </w:t>
      </w:r>
      <w:r w:rsidRPr="003B6CA7">
        <w:rPr>
          <w:rFonts w:ascii="Times New Roman" w:hAnsi="Times New Roman" w:cs="Times New Roman"/>
        </w:rPr>
        <w:t>reporting, material differences in depreciation policies, revenue recognition, and asset valuation can impact cross-border comparisons.</w:t>
      </w:r>
    </w:p>
    <w:p w14:paraId="28CC7188" w14:textId="77777777" w:rsidR="00FA594A" w:rsidRPr="003B6CA7" w:rsidRDefault="002F7845" w:rsidP="003B6CA7">
      <w:pPr>
        <w:spacing w:line="480" w:lineRule="auto"/>
        <w:jc w:val="both"/>
        <w:rPr>
          <w:rFonts w:ascii="Times New Roman" w:hAnsi="Times New Roman" w:cs="Times New Roman"/>
        </w:rPr>
      </w:pPr>
      <w:r w:rsidRPr="003B6CA7">
        <w:rPr>
          <w:rFonts w:ascii="Times New Roman" w:hAnsi="Times New Roman" w:cs="Times New Roman"/>
        </w:rPr>
        <w:t>Third, the snapshot nature of annual rankings may not capture important dynamics of corporate rise and decline. Companie</w:t>
      </w:r>
      <w:r w:rsidRPr="003B6CA7">
        <w:rPr>
          <w:rFonts w:ascii="Times New Roman" w:hAnsi="Times New Roman" w:cs="Times New Roman"/>
        </w:rPr>
        <w:t>s experiencing temporary distress or exceptional growth may appear misleadingly weak or strong in single-year analysis.</w:t>
      </w:r>
    </w:p>
    <w:p w14:paraId="462C49AB" w14:textId="60CBFC78" w:rsidR="00FA594A" w:rsidRDefault="002F7845" w:rsidP="003B6CA7">
      <w:pPr>
        <w:spacing w:line="480" w:lineRule="auto"/>
        <w:jc w:val="both"/>
        <w:rPr>
          <w:rFonts w:ascii="Times New Roman" w:hAnsi="Times New Roman" w:cs="Times New Roman"/>
        </w:rPr>
      </w:pPr>
      <w:r w:rsidRPr="003B6CA7">
        <w:rPr>
          <w:rFonts w:ascii="Times New Roman" w:hAnsi="Times New Roman" w:cs="Times New Roman"/>
        </w:rPr>
        <w:t>Finally, market value metrics reflect investor sentiment and expectations rather than intrinsic value. Valuation disparities across comp</w:t>
      </w:r>
      <w:r w:rsidRPr="003B6CA7">
        <w:rPr>
          <w:rFonts w:ascii="Times New Roman" w:hAnsi="Times New Roman" w:cs="Times New Roman"/>
        </w:rPr>
        <w:t>anies and industries may indicate mispricing rather than fundamental performance differences. Caution is warranted in drawing definitive conclusions about corporate quality or competitive positioning from market capitalization alone.</w:t>
      </w:r>
    </w:p>
    <w:p w14:paraId="0CA17957" w14:textId="29B8A7BE" w:rsidR="003B6CA7" w:rsidRDefault="003B6CA7" w:rsidP="003B6CA7">
      <w:pPr>
        <w:spacing w:line="480" w:lineRule="auto"/>
        <w:jc w:val="both"/>
        <w:rPr>
          <w:rFonts w:ascii="Times New Roman" w:hAnsi="Times New Roman" w:cs="Times New Roman"/>
        </w:rPr>
      </w:pPr>
    </w:p>
    <w:p w14:paraId="2C07F326" w14:textId="2F95D261" w:rsidR="003B6CA7" w:rsidRDefault="002F7845" w:rsidP="003B6CA7">
      <w:pPr>
        <w:spacing w:line="480" w:lineRule="auto"/>
        <w:jc w:val="both"/>
        <w:rPr>
          <w:rFonts w:ascii="Times New Roman" w:hAnsi="Times New Roman" w:cs="Times New Roman"/>
          <w:i/>
          <w:iCs/>
        </w:rPr>
      </w:pPr>
      <w:r>
        <w:rPr>
          <w:rFonts w:ascii="Times New Roman" w:hAnsi="Times New Roman" w:cs="Times New Roman"/>
          <w:i/>
          <w:iCs/>
        </w:rPr>
        <w:t>Analyst: Okore Obinna Victor</w:t>
      </w:r>
    </w:p>
    <w:p w14:paraId="21B49D45" w14:textId="326C55F7" w:rsidR="002F7845" w:rsidRDefault="002F7845" w:rsidP="003B6CA7">
      <w:pPr>
        <w:spacing w:line="480" w:lineRule="auto"/>
        <w:jc w:val="both"/>
        <w:rPr>
          <w:rFonts w:ascii="Times New Roman" w:hAnsi="Times New Roman" w:cs="Times New Roman"/>
          <w:i/>
          <w:iCs/>
        </w:rPr>
      </w:pPr>
      <w:r>
        <w:rPr>
          <w:rFonts w:ascii="Times New Roman" w:hAnsi="Times New Roman" w:cs="Times New Roman"/>
          <w:i/>
          <w:iCs/>
        </w:rPr>
        <w:t>Data Source: Kaggle.com</w:t>
      </w:r>
    </w:p>
    <w:p w14:paraId="012AAA1E" w14:textId="428149E5" w:rsidR="002F7845" w:rsidRPr="002F7845" w:rsidRDefault="002F7845" w:rsidP="003B6CA7">
      <w:pPr>
        <w:spacing w:line="480" w:lineRule="auto"/>
        <w:jc w:val="both"/>
        <w:rPr>
          <w:rFonts w:ascii="Times New Roman" w:hAnsi="Times New Roman" w:cs="Times New Roman"/>
          <w:i/>
          <w:iCs/>
        </w:rPr>
      </w:pPr>
      <w:r>
        <w:rPr>
          <w:rFonts w:ascii="Times New Roman" w:hAnsi="Times New Roman" w:cs="Times New Roman"/>
          <w:i/>
          <w:iCs/>
        </w:rPr>
        <w:t>Analytics Tool: Power Bi</w:t>
      </w:r>
    </w:p>
    <w:sectPr w:rsidR="002F7845" w:rsidRPr="002F78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517C9"/>
    <w:multiLevelType w:val="hybridMultilevel"/>
    <w:tmpl w:val="412EF18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94A"/>
    <w:rsid w:val="002F7845"/>
    <w:rsid w:val="003B6CA7"/>
    <w:rsid w:val="00FA5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A542"/>
  <w15:docId w15:val="{CADF4210-E31E-4162-85FC-70AB8669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1979</Words>
  <Characters>11281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oobinna2019@gmail.com</cp:lastModifiedBy>
  <cp:revision>2</cp:revision>
  <dcterms:created xsi:type="dcterms:W3CDTF">2026-02-06T06:57:00Z</dcterms:created>
  <dcterms:modified xsi:type="dcterms:W3CDTF">2026-02-06T14:47:00Z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e128a9a4-d45f-4b02-80a2-bec7ebe8aa4d</vt:lpwstr>
  </property>
</Properties>
</file>