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F339A" w14:textId="77777777" w:rsidR="00667AA7" w:rsidRDefault="00667AA7" w:rsidP="004174E4">
      <w:pPr>
        <w:spacing w:line="480" w:lineRule="auto"/>
        <w:jc w:val="center"/>
        <w:rPr>
          <w:rFonts w:ascii="Times New Roman" w:hAnsi="Times New Roman" w:cs="Times New Roman"/>
          <w:sz w:val="24"/>
          <w:szCs w:val="24"/>
        </w:rPr>
      </w:pPr>
    </w:p>
    <w:p w14:paraId="08D50FBA" w14:textId="77777777" w:rsidR="00667AA7" w:rsidRDefault="00667AA7" w:rsidP="004174E4">
      <w:pPr>
        <w:spacing w:line="480" w:lineRule="auto"/>
        <w:jc w:val="center"/>
        <w:rPr>
          <w:rFonts w:ascii="Times New Roman" w:hAnsi="Times New Roman" w:cs="Times New Roman"/>
          <w:sz w:val="24"/>
          <w:szCs w:val="24"/>
        </w:rPr>
      </w:pPr>
    </w:p>
    <w:p w14:paraId="6DF94980" w14:textId="77777777" w:rsidR="00667AA7" w:rsidRDefault="00667AA7" w:rsidP="004174E4">
      <w:pPr>
        <w:spacing w:line="480" w:lineRule="auto"/>
        <w:jc w:val="center"/>
        <w:rPr>
          <w:rFonts w:ascii="Times New Roman" w:hAnsi="Times New Roman" w:cs="Times New Roman"/>
          <w:sz w:val="24"/>
          <w:szCs w:val="24"/>
        </w:rPr>
      </w:pPr>
    </w:p>
    <w:p w14:paraId="0449E03B" w14:textId="77777777" w:rsidR="00667AA7" w:rsidRDefault="00667AA7" w:rsidP="004174E4">
      <w:pPr>
        <w:spacing w:line="480" w:lineRule="auto"/>
        <w:jc w:val="center"/>
        <w:rPr>
          <w:rFonts w:ascii="Times New Roman" w:hAnsi="Times New Roman" w:cs="Times New Roman"/>
          <w:sz w:val="24"/>
          <w:szCs w:val="24"/>
        </w:rPr>
      </w:pPr>
    </w:p>
    <w:p w14:paraId="405D5415" w14:textId="70C91A0D" w:rsidR="003B3586" w:rsidRDefault="003B3586" w:rsidP="004174E4">
      <w:pPr>
        <w:spacing w:line="480" w:lineRule="auto"/>
        <w:jc w:val="center"/>
        <w:rPr>
          <w:rFonts w:ascii="Times New Roman" w:hAnsi="Times New Roman" w:cs="Times New Roman"/>
          <w:sz w:val="24"/>
          <w:szCs w:val="24"/>
        </w:rPr>
      </w:pPr>
      <w:r w:rsidRPr="003B3586">
        <w:rPr>
          <w:rFonts w:ascii="Times New Roman" w:hAnsi="Times New Roman" w:cs="Times New Roman"/>
          <w:sz w:val="24"/>
          <w:szCs w:val="24"/>
        </w:rPr>
        <w:t>EEPC Laws</w:t>
      </w:r>
    </w:p>
    <w:p w14:paraId="13523FEC" w14:textId="77777777" w:rsidR="00667AA7" w:rsidRPr="003B3586" w:rsidRDefault="00667AA7" w:rsidP="004174E4">
      <w:pPr>
        <w:spacing w:line="480" w:lineRule="auto"/>
        <w:jc w:val="center"/>
        <w:rPr>
          <w:rFonts w:ascii="Times New Roman" w:hAnsi="Times New Roman" w:cs="Times New Roman"/>
          <w:sz w:val="24"/>
          <w:szCs w:val="24"/>
        </w:rPr>
      </w:pPr>
    </w:p>
    <w:p w14:paraId="00661088" w14:textId="181756C4" w:rsidR="003B3586" w:rsidRPr="003B3586" w:rsidRDefault="003B3586" w:rsidP="004174E4">
      <w:pPr>
        <w:spacing w:line="480" w:lineRule="auto"/>
        <w:jc w:val="center"/>
        <w:rPr>
          <w:rFonts w:ascii="Times New Roman" w:hAnsi="Times New Roman" w:cs="Times New Roman"/>
          <w:sz w:val="24"/>
          <w:szCs w:val="24"/>
        </w:rPr>
      </w:pPr>
      <w:r w:rsidRPr="003B3586">
        <w:rPr>
          <w:rFonts w:ascii="Times New Roman" w:hAnsi="Times New Roman" w:cs="Times New Roman"/>
          <w:sz w:val="24"/>
          <w:szCs w:val="24"/>
        </w:rPr>
        <w:t>Student’s Name:</w:t>
      </w:r>
    </w:p>
    <w:p w14:paraId="0B10A52A" w14:textId="3FE97F73" w:rsidR="003B3586" w:rsidRPr="003B3586" w:rsidRDefault="003B3586" w:rsidP="004174E4">
      <w:pPr>
        <w:spacing w:line="480" w:lineRule="auto"/>
        <w:jc w:val="center"/>
        <w:rPr>
          <w:rFonts w:ascii="Times New Roman" w:hAnsi="Times New Roman" w:cs="Times New Roman"/>
          <w:sz w:val="24"/>
          <w:szCs w:val="24"/>
        </w:rPr>
      </w:pPr>
      <w:r w:rsidRPr="003B3586">
        <w:rPr>
          <w:rFonts w:ascii="Times New Roman" w:hAnsi="Times New Roman" w:cs="Times New Roman"/>
          <w:sz w:val="24"/>
          <w:szCs w:val="24"/>
        </w:rPr>
        <w:t>Institution:</w:t>
      </w:r>
    </w:p>
    <w:p w14:paraId="40A65BC8" w14:textId="30384EDB" w:rsidR="003B3586" w:rsidRPr="003B3586" w:rsidRDefault="003B3586" w:rsidP="004174E4">
      <w:pPr>
        <w:spacing w:line="480" w:lineRule="auto"/>
        <w:jc w:val="center"/>
        <w:rPr>
          <w:rFonts w:ascii="Times New Roman" w:hAnsi="Times New Roman" w:cs="Times New Roman"/>
          <w:sz w:val="24"/>
          <w:szCs w:val="24"/>
        </w:rPr>
      </w:pPr>
      <w:r w:rsidRPr="003B3586">
        <w:rPr>
          <w:rFonts w:ascii="Times New Roman" w:hAnsi="Times New Roman" w:cs="Times New Roman"/>
          <w:sz w:val="24"/>
          <w:szCs w:val="24"/>
        </w:rPr>
        <w:t>Course:</w:t>
      </w:r>
    </w:p>
    <w:p w14:paraId="5D402D02" w14:textId="4EBC07E8" w:rsidR="003B3586" w:rsidRPr="003B3586" w:rsidRDefault="003B3586" w:rsidP="004174E4">
      <w:pPr>
        <w:spacing w:line="480" w:lineRule="auto"/>
        <w:jc w:val="center"/>
        <w:rPr>
          <w:rFonts w:ascii="Times New Roman" w:hAnsi="Times New Roman" w:cs="Times New Roman"/>
          <w:sz w:val="24"/>
          <w:szCs w:val="24"/>
        </w:rPr>
      </w:pPr>
      <w:r w:rsidRPr="003B3586">
        <w:rPr>
          <w:rFonts w:ascii="Times New Roman" w:hAnsi="Times New Roman" w:cs="Times New Roman"/>
          <w:sz w:val="24"/>
          <w:szCs w:val="24"/>
        </w:rPr>
        <w:t>Instructor:</w:t>
      </w:r>
    </w:p>
    <w:p w14:paraId="68EEEF50" w14:textId="3F1B4AA7" w:rsidR="003B3586" w:rsidRPr="003B3586" w:rsidRDefault="003B3586" w:rsidP="004174E4">
      <w:pPr>
        <w:spacing w:line="480" w:lineRule="auto"/>
        <w:jc w:val="center"/>
        <w:rPr>
          <w:rFonts w:ascii="Times New Roman" w:hAnsi="Times New Roman" w:cs="Times New Roman"/>
          <w:sz w:val="24"/>
          <w:szCs w:val="24"/>
        </w:rPr>
      </w:pPr>
      <w:r w:rsidRPr="003B3586">
        <w:rPr>
          <w:rFonts w:ascii="Times New Roman" w:hAnsi="Times New Roman" w:cs="Times New Roman"/>
          <w:sz w:val="24"/>
          <w:szCs w:val="24"/>
        </w:rPr>
        <w:t>Date:</w:t>
      </w:r>
    </w:p>
    <w:p w14:paraId="7F2087AC" w14:textId="77777777" w:rsidR="003B3586" w:rsidRPr="003B3586" w:rsidRDefault="003B3586" w:rsidP="004174E4">
      <w:pPr>
        <w:spacing w:line="480" w:lineRule="auto"/>
        <w:jc w:val="center"/>
        <w:rPr>
          <w:rFonts w:ascii="Times New Roman" w:hAnsi="Times New Roman" w:cs="Times New Roman"/>
          <w:sz w:val="24"/>
          <w:szCs w:val="24"/>
        </w:rPr>
      </w:pPr>
    </w:p>
    <w:p w14:paraId="2DABD523" w14:textId="77777777" w:rsidR="00667AA7" w:rsidRDefault="00667AA7">
      <w:pPr>
        <w:rPr>
          <w:rFonts w:ascii="Times New Roman" w:hAnsi="Times New Roman" w:cs="Times New Roman"/>
          <w:sz w:val="24"/>
          <w:szCs w:val="24"/>
        </w:rPr>
      </w:pPr>
      <w:r>
        <w:rPr>
          <w:rFonts w:ascii="Times New Roman" w:hAnsi="Times New Roman" w:cs="Times New Roman"/>
          <w:sz w:val="24"/>
          <w:szCs w:val="24"/>
        </w:rPr>
        <w:br w:type="page"/>
      </w:r>
    </w:p>
    <w:p w14:paraId="44B9B6FF" w14:textId="212BF03B" w:rsidR="003B3586" w:rsidRPr="00667AA7" w:rsidRDefault="003B3586" w:rsidP="004174E4">
      <w:pPr>
        <w:spacing w:line="480" w:lineRule="auto"/>
        <w:jc w:val="center"/>
        <w:rPr>
          <w:rFonts w:ascii="Times New Roman" w:hAnsi="Times New Roman" w:cs="Times New Roman"/>
          <w:b/>
          <w:bCs/>
          <w:sz w:val="24"/>
          <w:szCs w:val="24"/>
        </w:rPr>
      </w:pPr>
      <w:r w:rsidRPr="003B3586">
        <w:rPr>
          <w:rFonts w:ascii="Times New Roman" w:hAnsi="Times New Roman" w:cs="Times New Roman"/>
          <w:b/>
          <w:bCs/>
          <w:sz w:val="24"/>
          <w:szCs w:val="24"/>
        </w:rPr>
        <w:lastRenderedPageBreak/>
        <w:t>EEPC Laws</w:t>
      </w:r>
    </w:p>
    <w:p w14:paraId="6DA8B207" w14:textId="3153F7A3" w:rsidR="003B3586" w:rsidRPr="003B3586" w:rsidRDefault="003B3586" w:rsidP="00667AA7">
      <w:pPr>
        <w:spacing w:line="480" w:lineRule="auto"/>
        <w:ind w:firstLine="720"/>
        <w:rPr>
          <w:rFonts w:ascii="Times New Roman" w:hAnsi="Times New Roman" w:cs="Times New Roman"/>
          <w:sz w:val="24"/>
          <w:szCs w:val="24"/>
        </w:rPr>
      </w:pPr>
      <w:r w:rsidRPr="003B3586">
        <w:rPr>
          <w:rFonts w:ascii="Times New Roman" w:hAnsi="Times New Roman" w:cs="Times New Roman"/>
          <w:sz w:val="24"/>
          <w:szCs w:val="24"/>
        </w:rPr>
        <w:t>Fair and equal treatment in the workplace is a fundamental right for every employee and job applicant. </w:t>
      </w:r>
      <w:r w:rsidRPr="003B3586">
        <w:rPr>
          <w:rFonts w:ascii="Times New Roman" w:hAnsi="Times New Roman" w:cs="Times New Roman"/>
          <w:sz w:val="24"/>
          <w:szCs w:val="24"/>
        </w:rPr>
        <w:t xml:space="preserve"> </w:t>
      </w:r>
      <w:r w:rsidRPr="003B3586">
        <w:rPr>
          <w:rFonts w:ascii="Times New Roman" w:hAnsi="Times New Roman" w:cs="Times New Roman"/>
          <w:sz w:val="24"/>
          <w:szCs w:val="24"/>
        </w:rPr>
        <w:t xml:space="preserve">The Equal Employment Practices Commission (EEPC) of New York City is dedicated to upholding this right by overseeing and enforcing myriad laws that promote equality and prevent discrimination. The EEPC is a crucial watchdog, ensuring employers maintain affirmative employment programs and equal opportunities. By advising and assisting in establishing affirmative plans, measures, and programs, the EEPC aims to eradicate discriminatory practices and educate employees about their rights. By enforcing federal laws such as Title VII of the Civil Rights Act of 1964, the Pregnancy Discrimination Act, and the Equal Pay Act of 1963, the EEPC remains relevant and essential in safeguarding workplace equality. This paper explores the purpose and continued relevance of EEPC laws, starting with an overview of the </w:t>
      </w:r>
      <w:proofErr w:type="spellStart"/>
      <w:r w:rsidRPr="003B3586">
        <w:rPr>
          <w:rFonts w:ascii="Times New Roman" w:hAnsi="Times New Roman" w:cs="Times New Roman"/>
          <w:sz w:val="24"/>
          <w:szCs w:val="24"/>
        </w:rPr>
        <w:t>EEPC's</w:t>
      </w:r>
      <w:proofErr w:type="spellEnd"/>
      <w:r w:rsidRPr="003B3586">
        <w:rPr>
          <w:rFonts w:ascii="Times New Roman" w:hAnsi="Times New Roman" w:cs="Times New Roman"/>
          <w:sz w:val="24"/>
          <w:szCs w:val="24"/>
        </w:rPr>
        <w:t xml:space="preserve"> role and then examining the specific laws it enforces.</w:t>
      </w:r>
    </w:p>
    <w:p w14:paraId="7BC2B0AC" w14:textId="77777777" w:rsidR="003B3586" w:rsidRPr="003B3586" w:rsidRDefault="003B3586" w:rsidP="003B3586">
      <w:pPr>
        <w:spacing w:line="480" w:lineRule="auto"/>
        <w:rPr>
          <w:rFonts w:ascii="Times New Roman" w:hAnsi="Times New Roman" w:cs="Times New Roman"/>
          <w:b/>
          <w:bCs/>
          <w:sz w:val="24"/>
          <w:szCs w:val="24"/>
        </w:rPr>
      </w:pPr>
      <w:r w:rsidRPr="003B3586">
        <w:rPr>
          <w:rFonts w:ascii="Times New Roman" w:hAnsi="Times New Roman" w:cs="Times New Roman"/>
          <w:b/>
          <w:bCs/>
          <w:sz w:val="24"/>
          <w:szCs w:val="24"/>
        </w:rPr>
        <w:t>What is the EEPC?</w:t>
      </w:r>
    </w:p>
    <w:p w14:paraId="7700B9AE" w14:textId="77777777" w:rsidR="003B3586" w:rsidRPr="003B3586" w:rsidRDefault="003B3586" w:rsidP="00667AA7">
      <w:pPr>
        <w:spacing w:line="480" w:lineRule="auto"/>
        <w:ind w:firstLine="720"/>
        <w:rPr>
          <w:rFonts w:ascii="Times New Roman" w:hAnsi="Times New Roman" w:cs="Times New Roman"/>
          <w:sz w:val="24"/>
          <w:szCs w:val="24"/>
        </w:rPr>
      </w:pPr>
      <w:r w:rsidRPr="003B3586">
        <w:rPr>
          <w:rFonts w:ascii="Times New Roman" w:hAnsi="Times New Roman" w:cs="Times New Roman"/>
          <w:sz w:val="24"/>
          <w:szCs w:val="24"/>
        </w:rPr>
        <w:t>The Equal Employment Practices Commission (EEPC) is an independent, non-mayoral agency within New York City dedicated to overseeing and enforcing equal opportunity within the City's employment practices. It fulfils this mission through several vital functions of audits, evaluates, and monitors the City's employment programs, policies, and procedures to ensure they align with principles of equal opportunity. Additionally, the EEPC advises and assists municipal entities in developing and implementing affirmative action plans to promote equal employment opportunities. The commission also plays a crucial role in educating employees about their rights regarding equal opportunity in the workplace. Furthermore, the EEPC investigates discrimination complaints and ensures that complaint procedures comply with relevant laws, working to uphold fairness and equality in New York City's workforce.</w:t>
      </w:r>
    </w:p>
    <w:p w14:paraId="71E04A82" w14:textId="77777777" w:rsidR="003B3586" w:rsidRPr="003B3586" w:rsidRDefault="003B3586" w:rsidP="003B3586">
      <w:pPr>
        <w:spacing w:line="480" w:lineRule="auto"/>
        <w:rPr>
          <w:rFonts w:ascii="Times New Roman" w:hAnsi="Times New Roman" w:cs="Times New Roman"/>
          <w:b/>
          <w:bCs/>
          <w:sz w:val="24"/>
          <w:szCs w:val="24"/>
        </w:rPr>
      </w:pPr>
      <w:r w:rsidRPr="003B3586">
        <w:rPr>
          <w:rFonts w:ascii="Times New Roman" w:hAnsi="Times New Roman" w:cs="Times New Roman"/>
          <w:b/>
          <w:bCs/>
          <w:sz w:val="24"/>
          <w:szCs w:val="24"/>
        </w:rPr>
        <w:lastRenderedPageBreak/>
        <w:t>Federal Laws Enforced by the EEPC</w:t>
      </w:r>
    </w:p>
    <w:p w14:paraId="449758A2" w14:textId="77777777" w:rsidR="003B3586" w:rsidRPr="003B3586" w:rsidRDefault="003B3586" w:rsidP="00667AA7">
      <w:pPr>
        <w:spacing w:line="480" w:lineRule="auto"/>
        <w:ind w:firstLine="720"/>
        <w:rPr>
          <w:rFonts w:ascii="Times New Roman" w:hAnsi="Times New Roman" w:cs="Times New Roman"/>
          <w:sz w:val="24"/>
          <w:szCs w:val="24"/>
        </w:rPr>
      </w:pPr>
      <w:r w:rsidRPr="003B3586">
        <w:rPr>
          <w:rFonts w:ascii="Times New Roman" w:hAnsi="Times New Roman" w:cs="Times New Roman"/>
          <w:sz w:val="24"/>
          <w:szCs w:val="24"/>
        </w:rPr>
        <w:t xml:space="preserve">The EEPC enforces a set of federal laws prohibiting discrimination in employment based on various protected characteristics. One key legislation is Title VII of the Civil Rights Act of 1964, which prohibits discrimination based on race, </w:t>
      </w:r>
      <w:proofErr w:type="spellStart"/>
      <w:r w:rsidRPr="003B3586">
        <w:rPr>
          <w:rFonts w:ascii="Times New Roman" w:hAnsi="Times New Roman" w:cs="Times New Roman"/>
          <w:sz w:val="24"/>
          <w:szCs w:val="24"/>
        </w:rPr>
        <w:t>colour</w:t>
      </w:r>
      <w:proofErr w:type="spellEnd"/>
      <w:r w:rsidRPr="003B3586">
        <w:rPr>
          <w:rFonts w:ascii="Times New Roman" w:hAnsi="Times New Roman" w:cs="Times New Roman"/>
          <w:sz w:val="24"/>
          <w:szCs w:val="24"/>
        </w:rPr>
        <w:t>, religion, national origin, or sex (Act, 1964). This law not only eradicates intentional discriminatory practices but also addresses those with a disparate impact on protected groups. It is designed to foster equal opportunities in the workplace by ensuring fair treatment and protection against discrimination for all employees. Additionally, Title VII prohibits retaliation against individuals who report discrimination or participate in related proceedings, strengthening protective measures for workers.</w:t>
      </w:r>
    </w:p>
    <w:p w14:paraId="7D301EFB" w14:textId="5451F73F" w:rsidR="003B3586" w:rsidRPr="003B3586" w:rsidRDefault="003B3586" w:rsidP="00667AA7">
      <w:pPr>
        <w:spacing w:line="480" w:lineRule="auto"/>
        <w:ind w:firstLine="720"/>
        <w:rPr>
          <w:rFonts w:ascii="Times New Roman" w:hAnsi="Times New Roman" w:cs="Times New Roman"/>
          <w:sz w:val="24"/>
          <w:szCs w:val="24"/>
        </w:rPr>
      </w:pPr>
      <w:r w:rsidRPr="003B3586">
        <w:rPr>
          <w:rFonts w:ascii="Times New Roman" w:hAnsi="Times New Roman" w:cs="Times New Roman"/>
          <w:sz w:val="24"/>
          <w:szCs w:val="24"/>
        </w:rPr>
        <w:t>Today, Title VII remains highly relevant as discrimination continues to be a pressing issue in the workplace. Despite progress, various forms of discrimination persist, including racial, gender, and religious discrimination. Title VII provides a legal framework for addressing these issues, holding employers accountable for discriminatory practices, and promoting diversity and inclusion (Act, 1964). Title VII is crucial in fostering a good culture in an increasingly diverse workforce. Therefore, through its enforcement efforts, the EEPC upholds the principles of equality</w:t>
      </w:r>
      <w:r w:rsidR="0044183C">
        <w:rPr>
          <w:rFonts w:ascii="Times New Roman" w:hAnsi="Times New Roman" w:cs="Times New Roman"/>
          <w:sz w:val="24"/>
          <w:szCs w:val="24"/>
        </w:rPr>
        <w:t xml:space="preserve"> and fairness to create</w:t>
      </w:r>
      <w:r w:rsidRPr="003B3586">
        <w:rPr>
          <w:rFonts w:ascii="Times New Roman" w:hAnsi="Times New Roman" w:cs="Times New Roman"/>
          <w:sz w:val="24"/>
          <w:szCs w:val="24"/>
        </w:rPr>
        <w:t xml:space="preserve"> a more inclusive and diverse workforce.</w:t>
      </w:r>
    </w:p>
    <w:p w14:paraId="3A21851C" w14:textId="77777777" w:rsidR="003B3586" w:rsidRPr="003B3586" w:rsidRDefault="003B3586" w:rsidP="00667AA7">
      <w:pPr>
        <w:spacing w:line="480" w:lineRule="auto"/>
        <w:ind w:firstLine="720"/>
        <w:rPr>
          <w:rFonts w:ascii="Times New Roman" w:hAnsi="Times New Roman" w:cs="Times New Roman"/>
          <w:sz w:val="24"/>
          <w:szCs w:val="24"/>
        </w:rPr>
      </w:pPr>
      <w:r w:rsidRPr="003B3586">
        <w:rPr>
          <w:rFonts w:ascii="Times New Roman" w:hAnsi="Times New Roman" w:cs="Times New Roman"/>
          <w:sz w:val="24"/>
          <w:szCs w:val="24"/>
        </w:rPr>
        <w:t xml:space="preserve">Secondly, EEPC enforces the Pregnancy Discrimination Act (PDA), an amendment to Title VII of the Civil Rights Act of 1964 (McCann &amp; Tomaskovic-Devey, 2021). PDA prohibits discrimination against women based on pregnancy, childbirth, or related medical conditions. This act ensures that women are not mistreated in the workplace due to their pregnancy status, extending the protections of Title VII to encompass these specific circumstances (McCann &amp; Tomaskovic-Devey, 2021). By amending Title VII, the Pregnancy Discrimination Act aims to promote equal opportunities for women in employment, protecting their rights to work without </w:t>
      </w:r>
      <w:r w:rsidRPr="003B3586">
        <w:rPr>
          <w:rFonts w:ascii="Times New Roman" w:hAnsi="Times New Roman" w:cs="Times New Roman"/>
          <w:sz w:val="24"/>
          <w:szCs w:val="24"/>
        </w:rPr>
        <w:lastRenderedPageBreak/>
        <w:t>facing discrimination based on pregnancy-related factors. The PDA is still relevant today as pregnancy discrimination continues to be a significant issue in the workplace. Despite legal protections, pregnant women often face challenges such as being denied reasonable accommodations, adverse actions, or unfair treatment. Thus, the act addresses these issues, providing a legal framework to protect pregnant women from discrimination.</w:t>
      </w:r>
    </w:p>
    <w:p w14:paraId="32FC5BD0" w14:textId="36537873" w:rsidR="003B3586" w:rsidRPr="003B3586" w:rsidRDefault="003B3586" w:rsidP="00667AA7">
      <w:pPr>
        <w:spacing w:line="480" w:lineRule="auto"/>
        <w:ind w:firstLine="720"/>
        <w:rPr>
          <w:rFonts w:ascii="Times New Roman" w:hAnsi="Times New Roman" w:cs="Times New Roman"/>
          <w:sz w:val="24"/>
          <w:szCs w:val="24"/>
        </w:rPr>
      </w:pPr>
      <w:r w:rsidRPr="003B3586">
        <w:rPr>
          <w:rFonts w:ascii="Times New Roman" w:hAnsi="Times New Roman" w:cs="Times New Roman"/>
          <w:sz w:val="24"/>
          <w:szCs w:val="24"/>
        </w:rPr>
        <w:t xml:space="preserve">Regarding pay, EEPC enforces the Equal Pay Act of 1963 (EPA), which ensures gender equality in the workplace by prohibiting wage discrimination based on sex. EPA </w:t>
      </w:r>
      <w:r w:rsidR="00CD78AE">
        <w:rPr>
          <w:rFonts w:ascii="Times New Roman" w:hAnsi="Times New Roman" w:cs="Times New Roman"/>
          <w:sz w:val="24"/>
          <w:szCs w:val="24"/>
        </w:rPr>
        <w:t>requires a</w:t>
      </w:r>
      <w:r w:rsidR="00FA28E3">
        <w:rPr>
          <w:rFonts w:ascii="Times New Roman" w:hAnsi="Times New Roman" w:cs="Times New Roman"/>
          <w:sz w:val="24"/>
          <w:szCs w:val="24"/>
        </w:rPr>
        <w:t xml:space="preserve">ll </w:t>
      </w:r>
      <w:r w:rsidRPr="003B3586">
        <w:rPr>
          <w:rFonts w:ascii="Times New Roman" w:hAnsi="Times New Roman" w:cs="Times New Roman"/>
          <w:sz w:val="24"/>
          <w:szCs w:val="24"/>
        </w:rPr>
        <w:t xml:space="preserve">employers to pay </w:t>
      </w:r>
      <w:r w:rsidR="00FA28E3">
        <w:rPr>
          <w:rFonts w:ascii="Times New Roman" w:hAnsi="Times New Roman" w:cs="Times New Roman"/>
          <w:sz w:val="24"/>
          <w:szCs w:val="24"/>
        </w:rPr>
        <w:t>equal</w:t>
      </w:r>
      <w:r w:rsidRPr="003B3586">
        <w:rPr>
          <w:rFonts w:ascii="Times New Roman" w:hAnsi="Times New Roman" w:cs="Times New Roman"/>
          <w:sz w:val="24"/>
          <w:szCs w:val="24"/>
        </w:rPr>
        <w:t xml:space="preserve"> wages to men and women who work equally</w:t>
      </w:r>
      <w:r w:rsidR="00FA28E3">
        <w:rPr>
          <w:rFonts w:ascii="Times New Roman" w:hAnsi="Times New Roman" w:cs="Times New Roman"/>
          <w:sz w:val="24"/>
          <w:szCs w:val="24"/>
        </w:rPr>
        <w:t xml:space="preserve"> </w:t>
      </w:r>
      <w:r w:rsidRPr="003B3586">
        <w:rPr>
          <w:rFonts w:ascii="Times New Roman" w:hAnsi="Times New Roman" w:cs="Times New Roman"/>
          <w:sz w:val="24"/>
          <w:szCs w:val="24"/>
        </w:rPr>
        <w:t xml:space="preserve">(Bailey et al., 2023). This law addresses the historical </w:t>
      </w:r>
      <w:r w:rsidR="002B4B5E">
        <w:rPr>
          <w:rFonts w:ascii="Times New Roman" w:hAnsi="Times New Roman" w:cs="Times New Roman"/>
          <w:sz w:val="24"/>
          <w:szCs w:val="24"/>
        </w:rPr>
        <w:t xml:space="preserve">gender </w:t>
      </w:r>
      <w:r w:rsidRPr="003B3586">
        <w:rPr>
          <w:rFonts w:ascii="Times New Roman" w:hAnsi="Times New Roman" w:cs="Times New Roman"/>
          <w:sz w:val="24"/>
          <w:szCs w:val="24"/>
        </w:rPr>
        <w:t xml:space="preserve">wage gap between </w:t>
      </w:r>
      <w:r w:rsidR="002B4B5E">
        <w:rPr>
          <w:rFonts w:ascii="Times New Roman" w:hAnsi="Times New Roman" w:cs="Times New Roman"/>
          <w:sz w:val="24"/>
          <w:szCs w:val="24"/>
        </w:rPr>
        <w:t>men and women doing same job</w:t>
      </w:r>
      <w:r w:rsidRPr="003B3586">
        <w:rPr>
          <w:rFonts w:ascii="Times New Roman" w:hAnsi="Times New Roman" w:cs="Times New Roman"/>
          <w:sz w:val="24"/>
          <w:szCs w:val="24"/>
        </w:rPr>
        <w:t xml:space="preserve">. The EPA remains relevant today as gender pay disparities persist in many industries and occupations. Despite progress, women, on average, still earn less than men for performing the same work (Bailey et al., 2023). The EPA provides a legal framework to challenge and rectify such disparities, offering protections against retaliation for individuals who report pay discrimination or participate in related investigations or lawsuits. As efforts to achieve gender equality in the workforce continue, the EPA promotes fair pay practices </w:t>
      </w:r>
      <w:r w:rsidR="00A17AB3">
        <w:rPr>
          <w:rFonts w:ascii="Times New Roman" w:hAnsi="Times New Roman" w:cs="Times New Roman"/>
          <w:sz w:val="24"/>
          <w:szCs w:val="24"/>
        </w:rPr>
        <w:t>in employee</w:t>
      </w:r>
      <w:r w:rsidRPr="003B3586">
        <w:rPr>
          <w:rFonts w:ascii="Times New Roman" w:hAnsi="Times New Roman" w:cs="Times New Roman"/>
          <w:sz w:val="24"/>
          <w:szCs w:val="24"/>
        </w:rPr>
        <w:t xml:space="preserve"> compensat</w:t>
      </w:r>
      <w:r w:rsidR="00A17AB3">
        <w:rPr>
          <w:rFonts w:ascii="Times New Roman" w:hAnsi="Times New Roman" w:cs="Times New Roman"/>
          <w:sz w:val="24"/>
          <w:szCs w:val="24"/>
        </w:rPr>
        <w:t>ion</w:t>
      </w:r>
      <w:r w:rsidRPr="003B3586">
        <w:rPr>
          <w:rFonts w:ascii="Times New Roman" w:hAnsi="Times New Roman" w:cs="Times New Roman"/>
          <w:sz w:val="24"/>
          <w:szCs w:val="24"/>
        </w:rPr>
        <w:t>.</w:t>
      </w:r>
    </w:p>
    <w:p w14:paraId="165B0FD5" w14:textId="2AFC9319" w:rsidR="003B3586" w:rsidRPr="003B3586" w:rsidRDefault="003B3586" w:rsidP="00084A06">
      <w:pPr>
        <w:spacing w:line="480" w:lineRule="auto"/>
        <w:ind w:firstLine="720"/>
        <w:rPr>
          <w:rFonts w:ascii="Times New Roman" w:hAnsi="Times New Roman" w:cs="Times New Roman"/>
          <w:sz w:val="24"/>
          <w:szCs w:val="24"/>
        </w:rPr>
      </w:pPr>
      <w:r w:rsidRPr="003B3586">
        <w:rPr>
          <w:rFonts w:ascii="Times New Roman" w:hAnsi="Times New Roman" w:cs="Times New Roman"/>
          <w:sz w:val="24"/>
          <w:szCs w:val="24"/>
        </w:rPr>
        <w:t xml:space="preserve">EEPC further enforces Title I of the Americans with Disabilities Act of 1990 (ADA), </w:t>
      </w:r>
      <w:r w:rsidR="009E3BEE">
        <w:rPr>
          <w:rFonts w:ascii="Times New Roman" w:hAnsi="Times New Roman" w:cs="Times New Roman"/>
          <w:sz w:val="24"/>
          <w:szCs w:val="24"/>
        </w:rPr>
        <w:t xml:space="preserve">which </w:t>
      </w:r>
      <w:r w:rsidR="00AA5A38">
        <w:rPr>
          <w:rFonts w:ascii="Times New Roman" w:hAnsi="Times New Roman" w:cs="Times New Roman"/>
          <w:sz w:val="24"/>
          <w:szCs w:val="24"/>
        </w:rPr>
        <w:t xml:space="preserve">illegalizes </w:t>
      </w:r>
      <w:r w:rsidRPr="003B3586">
        <w:rPr>
          <w:rFonts w:ascii="Times New Roman" w:hAnsi="Times New Roman" w:cs="Times New Roman"/>
          <w:sz w:val="24"/>
          <w:szCs w:val="24"/>
        </w:rPr>
        <w:t xml:space="preserve">discrimination against qualified individuals with disabilities. The ADA ensures that </w:t>
      </w:r>
      <w:r w:rsidR="00AA5A38">
        <w:rPr>
          <w:rFonts w:ascii="Times New Roman" w:hAnsi="Times New Roman" w:cs="Times New Roman"/>
          <w:sz w:val="24"/>
          <w:szCs w:val="24"/>
        </w:rPr>
        <w:t>persons</w:t>
      </w:r>
      <w:r w:rsidRPr="003B3586">
        <w:rPr>
          <w:rFonts w:ascii="Times New Roman" w:hAnsi="Times New Roman" w:cs="Times New Roman"/>
          <w:sz w:val="24"/>
          <w:szCs w:val="24"/>
        </w:rPr>
        <w:t xml:space="preserve"> with disabilities </w:t>
      </w:r>
      <w:r w:rsidR="00AA5A38">
        <w:rPr>
          <w:rFonts w:ascii="Times New Roman" w:hAnsi="Times New Roman" w:cs="Times New Roman"/>
          <w:sz w:val="24"/>
          <w:szCs w:val="24"/>
        </w:rPr>
        <w:t>are not dismissed or mistreated due to their condition</w:t>
      </w:r>
      <w:r w:rsidR="00084A06">
        <w:rPr>
          <w:rFonts w:ascii="Times New Roman" w:hAnsi="Times New Roman" w:cs="Times New Roman"/>
          <w:sz w:val="24"/>
          <w:szCs w:val="24"/>
        </w:rPr>
        <w:t xml:space="preserve">, provided they qualify for the job </w:t>
      </w:r>
      <w:r w:rsidRPr="003B3586">
        <w:rPr>
          <w:rFonts w:ascii="Times New Roman" w:hAnsi="Times New Roman" w:cs="Times New Roman"/>
          <w:sz w:val="24"/>
          <w:szCs w:val="24"/>
        </w:rPr>
        <w:t xml:space="preserve">(Blanck, 2023). Under the ADA, employers must provide reasonable accommodations to qualified individuals with disabilities unless doing so would cause undue hardship to the employer. ADA remains highly relevant as it protects the rights of individuals with disabilities in the workplace today. Despite progress, people with disabilities still face barriers to employment, including discrimination and lack of accommodation (Blanck, 2023). </w:t>
      </w:r>
      <w:r w:rsidRPr="003B3586">
        <w:rPr>
          <w:rFonts w:ascii="Times New Roman" w:hAnsi="Times New Roman" w:cs="Times New Roman"/>
          <w:sz w:val="24"/>
          <w:szCs w:val="24"/>
        </w:rPr>
        <w:lastRenderedPageBreak/>
        <w:t>The ADA's provisions against retaliation also protect individuals when asserting their rights under the law.</w:t>
      </w:r>
    </w:p>
    <w:p w14:paraId="3E7B2CFB" w14:textId="07EB0311" w:rsidR="003B3586" w:rsidRPr="003B3586" w:rsidRDefault="003B3586" w:rsidP="00667AA7">
      <w:pPr>
        <w:spacing w:line="480" w:lineRule="auto"/>
        <w:ind w:firstLine="720"/>
        <w:rPr>
          <w:rFonts w:ascii="Times New Roman" w:hAnsi="Times New Roman" w:cs="Times New Roman"/>
          <w:sz w:val="24"/>
          <w:szCs w:val="24"/>
        </w:rPr>
      </w:pPr>
      <w:r w:rsidRPr="003B3586">
        <w:rPr>
          <w:rFonts w:ascii="Times New Roman" w:hAnsi="Times New Roman" w:cs="Times New Roman"/>
          <w:sz w:val="24"/>
          <w:szCs w:val="24"/>
        </w:rPr>
        <w:t xml:space="preserve">Furthermore, the ADA 1190 is supported by Sections 102 and 103 of the Civil Rights Act of 1991 and the Americans with Disabilities Act (ADA), as well as Sections 501 and 505 of the Rehabilitation Act of 1973. Sections 102 and 103 allow for jury trials and compensatory and punitive damages in cases of intentional discrimination (Blanck, 2023). This amendment strengthens the enforcement mechanisms of these laws, providing avenues for redress and accountability for discriminatory practices. Sections 501 and 505 </w:t>
      </w:r>
      <w:r w:rsidR="00FC4D33">
        <w:rPr>
          <w:rFonts w:ascii="Times New Roman" w:hAnsi="Times New Roman" w:cs="Times New Roman"/>
          <w:sz w:val="24"/>
          <w:szCs w:val="24"/>
        </w:rPr>
        <w:t xml:space="preserve">prohibit federal employers from </w:t>
      </w:r>
      <w:r w:rsidRPr="003B3586">
        <w:rPr>
          <w:rFonts w:ascii="Times New Roman" w:hAnsi="Times New Roman" w:cs="Times New Roman"/>
          <w:sz w:val="24"/>
          <w:szCs w:val="24"/>
        </w:rPr>
        <w:t>discriminat</w:t>
      </w:r>
      <w:r w:rsidR="00FC4D33">
        <w:rPr>
          <w:rFonts w:ascii="Times New Roman" w:hAnsi="Times New Roman" w:cs="Times New Roman"/>
          <w:sz w:val="24"/>
          <w:szCs w:val="24"/>
        </w:rPr>
        <w:t xml:space="preserve">ing </w:t>
      </w:r>
      <w:r w:rsidRPr="003B3586">
        <w:rPr>
          <w:rFonts w:ascii="Times New Roman" w:hAnsi="Times New Roman" w:cs="Times New Roman"/>
          <w:sz w:val="24"/>
          <w:szCs w:val="24"/>
        </w:rPr>
        <w:t xml:space="preserve">against a qualified person with a disability and retaliation against individuals who report discrimination (Murphy, 2020). Additionally, these sections require federal agencies to provide reasonable accommodations to qualified individuals with disabilities. These laws are relevant and critical for promoting equal employment opportunities for </w:t>
      </w:r>
      <w:r w:rsidR="00F436C5">
        <w:rPr>
          <w:rFonts w:ascii="Times New Roman" w:hAnsi="Times New Roman" w:cs="Times New Roman"/>
          <w:sz w:val="24"/>
          <w:szCs w:val="24"/>
        </w:rPr>
        <w:t>persons</w:t>
      </w:r>
      <w:r w:rsidRPr="003B3586">
        <w:rPr>
          <w:rFonts w:ascii="Times New Roman" w:hAnsi="Times New Roman" w:cs="Times New Roman"/>
          <w:sz w:val="24"/>
          <w:szCs w:val="24"/>
        </w:rPr>
        <w:t xml:space="preserve"> with disabilities.</w:t>
      </w:r>
    </w:p>
    <w:p w14:paraId="53BAEACC" w14:textId="77777777" w:rsidR="00667AA7" w:rsidRDefault="003B3586" w:rsidP="00667AA7">
      <w:pPr>
        <w:spacing w:line="480" w:lineRule="auto"/>
        <w:ind w:firstLine="720"/>
        <w:rPr>
          <w:rFonts w:ascii="Times New Roman" w:hAnsi="Times New Roman" w:cs="Times New Roman"/>
          <w:sz w:val="24"/>
          <w:szCs w:val="24"/>
        </w:rPr>
      </w:pPr>
      <w:r w:rsidRPr="003B3586">
        <w:rPr>
          <w:rFonts w:ascii="Times New Roman" w:hAnsi="Times New Roman" w:cs="Times New Roman"/>
          <w:sz w:val="24"/>
          <w:szCs w:val="24"/>
        </w:rPr>
        <w:t xml:space="preserve">The EEPC also enforces the Genetic Information Nondiscrimination Act of 2008 (GINA), a federal law prohibiting discrimination against employees or job applicants based on their genetic information (Lenartz et al., 2021). This includes information about an individual's genetic tests, the genetic tests of their family members, and any family medical history. GINA prohibits employers from requesting, requiring, or purchasing genetic information except in limited circumstances. </w:t>
      </w:r>
    </w:p>
    <w:p w14:paraId="1679616B" w14:textId="581C60D0" w:rsidR="003B3586" w:rsidRPr="003B3586" w:rsidRDefault="003B3586" w:rsidP="00667AA7">
      <w:pPr>
        <w:spacing w:line="480" w:lineRule="auto"/>
        <w:ind w:firstLine="720"/>
        <w:rPr>
          <w:rFonts w:ascii="Times New Roman" w:hAnsi="Times New Roman" w:cs="Times New Roman"/>
          <w:sz w:val="24"/>
          <w:szCs w:val="24"/>
        </w:rPr>
      </w:pPr>
      <w:r w:rsidRPr="003B3586">
        <w:rPr>
          <w:rFonts w:ascii="Times New Roman" w:hAnsi="Times New Roman" w:cs="Times New Roman"/>
          <w:sz w:val="24"/>
          <w:szCs w:val="24"/>
        </w:rPr>
        <w:t xml:space="preserve">Additionally, GINA prohibits retaliation against individuals who oppose genetic discrimination or participate in proceedings related to genetic discrimination claims (Lenartz et al., 2021). GINA remains highly relevant in protecting individuals from discrimination based on their genetic information, particularly as genetic testing becomes more common and accessible. The law helps ensure that individuals can undergo genetic testing or disclose their genetic </w:t>
      </w:r>
      <w:r w:rsidRPr="003B3586">
        <w:rPr>
          <w:rFonts w:ascii="Times New Roman" w:hAnsi="Times New Roman" w:cs="Times New Roman"/>
          <w:sz w:val="24"/>
          <w:szCs w:val="24"/>
        </w:rPr>
        <w:lastRenderedPageBreak/>
        <w:t>information for medical purposes without fear of adverse employment consequences. Similarly, GINA promotes privacy and autonomy over genetic information, supporting individuals' rights to make informed decisions about their health without interference from their employers.</w:t>
      </w:r>
    </w:p>
    <w:p w14:paraId="499AFD3E" w14:textId="77777777" w:rsidR="003B3586" w:rsidRPr="003B3586" w:rsidRDefault="003B3586" w:rsidP="003B3586">
      <w:pPr>
        <w:spacing w:line="480" w:lineRule="auto"/>
        <w:rPr>
          <w:rFonts w:ascii="Times New Roman" w:hAnsi="Times New Roman" w:cs="Times New Roman"/>
          <w:b/>
          <w:bCs/>
          <w:sz w:val="24"/>
          <w:szCs w:val="24"/>
        </w:rPr>
      </w:pPr>
      <w:r w:rsidRPr="003B3586">
        <w:rPr>
          <w:rFonts w:ascii="Times New Roman" w:hAnsi="Times New Roman" w:cs="Times New Roman"/>
          <w:b/>
          <w:bCs/>
          <w:sz w:val="24"/>
          <w:szCs w:val="24"/>
        </w:rPr>
        <w:t>Conclusion</w:t>
      </w:r>
    </w:p>
    <w:p w14:paraId="59F21647" w14:textId="3CC00510" w:rsidR="003B3586" w:rsidRPr="003B3586" w:rsidRDefault="003B3586" w:rsidP="00667AA7">
      <w:pPr>
        <w:spacing w:line="480" w:lineRule="auto"/>
        <w:ind w:firstLine="720"/>
        <w:rPr>
          <w:rFonts w:ascii="Times New Roman" w:hAnsi="Times New Roman" w:cs="Times New Roman"/>
          <w:sz w:val="24"/>
          <w:szCs w:val="24"/>
        </w:rPr>
      </w:pPr>
      <w:r w:rsidRPr="003B3586">
        <w:rPr>
          <w:rFonts w:ascii="Times New Roman" w:hAnsi="Times New Roman" w:cs="Times New Roman"/>
          <w:sz w:val="24"/>
          <w:szCs w:val="24"/>
        </w:rPr>
        <w:t>The Equal Employment Practices Commission (EEPC) enforces a range of federal laws, including Title VII of the Civil Rights Act of 1964,</w:t>
      </w:r>
      <w:r w:rsidR="00F436C5">
        <w:rPr>
          <w:rFonts w:ascii="Times New Roman" w:hAnsi="Times New Roman" w:cs="Times New Roman"/>
          <w:sz w:val="24"/>
          <w:szCs w:val="24"/>
        </w:rPr>
        <w:t xml:space="preserve"> </w:t>
      </w:r>
      <w:r w:rsidRPr="003B3586">
        <w:rPr>
          <w:rFonts w:ascii="Times New Roman" w:hAnsi="Times New Roman" w:cs="Times New Roman"/>
          <w:sz w:val="24"/>
          <w:szCs w:val="24"/>
        </w:rPr>
        <w:t>Equal Pay Act, Americans with Disabilities Act</w:t>
      </w:r>
      <w:r w:rsidR="00382E1B">
        <w:rPr>
          <w:rFonts w:ascii="Times New Roman" w:hAnsi="Times New Roman" w:cs="Times New Roman"/>
          <w:sz w:val="24"/>
          <w:szCs w:val="24"/>
        </w:rPr>
        <w:t xml:space="preserve">, and </w:t>
      </w:r>
      <w:r w:rsidR="00382E1B" w:rsidRPr="003B3586">
        <w:rPr>
          <w:rFonts w:ascii="Times New Roman" w:hAnsi="Times New Roman" w:cs="Times New Roman"/>
          <w:sz w:val="24"/>
          <w:szCs w:val="24"/>
        </w:rPr>
        <w:t>Genetic Information Nondiscrimination Act of 2008</w:t>
      </w:r>
      <w:r w:rsidRPr="003B3586">
        <w:rPr>
          <w:rFonts w:ascii="Times New Roman" w:hAnsi="Times New Roman" w:cs="Times New Roman"/>
          <w:sz w:val="24"/>
          <w:szCs w:val="24"/>
        </w:rPr>
        <w:t>. The</w:t>
      </w:r>
      <w:r w:rsidR="00382E1B">
        <w:rPr>
          <w:rFonts w:ascii="Times New Roman" w:hAnsi="Times New Roman" w:cs="Times New Roman"/>
          <w:sz w:val="24"/>
          <w:szCs w:val="24"/>
        </w:rPr>
        <w:t xml:space="preserve"> primary purpose of these laws is to </w:t>
      </w:r>
      <w:r w:rsidRPr="003B3586">
        <w:rPr>
          <w:rFonts w:ascii="Times New Roman" w:hAnsi="Times New Roman" w:cs="Times New Roman"/>
          <w:sz w:val="24"/>
          <w:szCs w:val="24"/>
        </w:rPr>
        <w:t>ensure equal employment opportunities and prevent discrimination in the workplace. They prohibit discrimination based on protected characteristics such as race, sex, age, disability, and genetic information. Similarly, these laws prohibit retaliation against individuals who assert their rights under these laws. In today's evolving workforce, these laws remain highly relevant, protecting individuals from discrimination and harassment and promoting workplace diversity, equality, and inclusivity. Therefore, by safeguarding equal opportunity, the EEPC empowers a diverse workforce and ensures a level playing field where everyone can succeed.</w:t>
      </w:r>
    </w:p>
    <w:p w14:paraId="7D37DC56" w14:textId="77777777" w:rsidR="0051556D" w:rsidRPr="003B3586" w:rsidRDefault="0051556D" w:rsidP="003B3586">
      <w:pPr>
        <w:spacing w:line="480" w:lineRule="auto"/>
        <w:rPr>
          <w:rFonts w:ascii="Times New Roman" w:hAnsi="Times New Roman" w:cs="Times New Roman"/>
          <w:b/>
          <w:bCs/>
          <w:sz w:val="24"/>
          <w:szCs w:val="24"/>
        </w:rPr>
      </w:pPr>
      <w:r w:rsidRPr="003B3586">
        <w:rPr>
          <w:rFonts w:ascii="Times New Roman" w:hAnsi="Times New Roman" w:cs="Times New Roman"/>
          <w:b/>
          <w:bCs/>
          <w:sz w:val="24"/>
          <w:szCs w:val="24"/>
        </w:rPr>
        <w:br w:type="page"/>
      </w:r>
    </w:p>
    <w:p w14:paraId="0CC228B8" w14:textId="0BB36BB6" w:rsidR="006716A5" w:rsidRPr="003B3586" w:rsidRDefault="00D04938" w:rsidP="00667AA7">
      <w:pPr>
        <w:spacing w:line="480" w:lineRule="auto"/>
        <w:jc w:val="center"/>
        <w:rPr>
          <w:rFonts w:ascii="Times New Roman" w:hAnsi="Times New Roman" w:cs="Times New Roman"/>
          <w:b/>
          <w:bCs/>
          <w:sz w:val="24"/>
          <w:szCs w:val="24"/>
        </w:rPr>
      </w:pPr>
      <w:r w:rsidRPr="003B3586">
        <w:rPr>
          <w:rFonts w:ascii="Times New Roman" w:hAnsi="Times New Roman" w:cs="Times New Roman"/>
          <w:b/>
          <w:bCs/>
          <w:sz w:val="24"/>
          <w:szCs w:val="24"/>
        </w:rPr>
        <w:lastRenderedPageBreak/>
        <w:t>References</w:t>
      </w:r>
    </w:p>
    <w:p w14:paraId="092CCB96" w14:textId="77777777" w:rsidR="00667AA7" w:rsidRPr="003B3586" w:rsidRDefault="00667AA7" w:rsidP="00667AA7">
      <w:pPr>
        <w:spacing w:line="480" w:lineRule="auto"/>
        <w:ind w:left="720" w:hanging="720"/>
        <w:rPr>
          <w:rFonts w:ascii="Times New Roman" w:hAnsi="Times New Roman" w:cs="Times New Roman"/>
          <w:sz w:val="24"/>
          <w:szCs w:val="24"/>
        </w:rPr>
      </w:pPr>
      <w:r w:rsidRPr="003B3586">
        <w:rPr>
          <w:rFonts w:ascii="Times New Roman" w:hAnsi="Times New Roman" w:cs="Times New Roman"/>
          <w:sz w:val="24"/>
          <w:szCs w:val="24"/>
        </w:rPr>
        <w:t>Act, C. R. (1964). Title VII of the Civil Rights Act of 1964. </w:t>
      </w:r>
      <w:r w:rsidRPr="003B3586">
        <w:rPr>
          <w:rFonts w:ascii="Times New Roman" w:hAnsi="Times New Roman" w:cs="Times New Roman"/>
          <w:i/>
          <w:iCs/>
          <w:sz w:val="24"/>
          <w:szCs w:val="24"/>
        </w:rPr>
        <w:t xml:space="preserve">Retrieved </w:t>
      </w:r>
      <w:r w:rsidRPr="003B3586">
        <w:rPr>
          <w:rFonts w:ascii="Times New Roman" w:hAnsi="Times New Roman" w:cs="Times New Roman"/>
          <w:i/>
          <w:iCs/>
          <w:sz w:val="24"/>
          <w:szCs w:val="24"/>
        </w:rPr>
        <w:t>October</w:t>
      </w:r>
      <w:r w:rsidRPr="003B3586">
        <w:rPr>
          <w:rFonts w:ascii="Times New Roman" w:hAnsi="Times New Roman" w:cs="Times New Roman"/>
          <w:sz w:val="24"/>
          <w:szCs w:val="24"/>
        </w:rPr>
        <w:t> </w:t>
      </w:r>
      <w:r w:rsidRPr="003B3586">
        <w:rPr>
          <w:rFonts w:ascii="Times New Roman" w:hAnsi="Times New Roman" w:cs="Times New Roman"/>
          <w:i/>
          <w:iCs/>
          <w:sz w:val="24"/>
          <w:szCs w:val="24"/>
        </w:rPr>
        <w:t>21</w:t>
      </w:r>
      <w:r w:rsidRPr="003B3586">
        <w:rPr>
          <w:rFonts w:ascii="Times New Roman" w:hAnsi="Times New Roman" w:cs="Times New Roman"/>
          <w:sz w:val="24"/>
          <w:szCs w:val="24"/>
        </w:rPr>
        <w:t>, 2005.</w:t>
      </w:r>
    </w:p>
    <w:p w14:paraId="168AF31D" w14:textId="77777777" w:rsidR="00667AA7" w:rsidRPr="003B3586" w:rsidRDefault="00667AA7" w:rsidP="00667AA7">
      <w:pPr>
        <w:spacing w:line="480" w:lineRule="auto"/>
        <w:ind w:left="720" w:hanging="720"/>
        <w:rPr>
          <w:rFonts w:ascii="Times New Roman" w:hAnsi="Times New Roman" w:cs="Times New Roman"/>
          <w:sz w:val="24"/>
          <w:szCs w:val="24"/>
        </w:rPr>
      </w:pPr>
      <w:r w:rsidRPr="003B3586">
        <w:rPr>
          <w:rFonts w:ascii="Times New Roman" w:hAnsi="Times New Roman" w:cs="Times New Roman"/>
          <w:sz w:val="24"/>
          <w:szCs w:val="24"/>
        </w:rPr>
        <w:t xml:space="preserve">Bailey, M. J., Helgerman, T. E., &amp; Stuart, B. A. (2023). How the 1963 Equal Pay Act and 1964 Civil Rights Act Shaped the Gender Gap in Pay (No. </w:t>
      </w:r>
      <w:proofErr w:type="spellStart"/>
      <w:r w:rsidRPr="003B3586">
        <w:rPr>
          <w:rFonts w:ascii="Times New Roman" w:hAnsi="Times New Roman" w:cs="Times New Roman"/>
          <w:sz w:val="24"/>
          <w:szCs w:val="24"/>
        </w:rPr>
        <w:t>w31332</w:t>
      </w:r>
      <w:proofErr w:type="spellEnd"/>
      <w:r w:rsidRPr="003B3586">
        <w:rPr>
          <w:rFonts w:ascii="Times New Roman" w:hAnsi="Times New Roman" w:cs="Times New Roman"/>
          <w:sz w:val="24"/>
          <w:szCs w:val="24"/>
        </w:rPr>
        <w:t>). National Bureau of Economic Research.</w:t>
      </w:r>
      <w:r w:rsidRPr="003B3586">
        <w:rPr>
          <w:rFonts w:ascii="Times New Roman" w:hAnsi="Times New Roman" w:cs="Times New Roman"/>
          <w:sz w:val="24"/>
          <w:szCs w:val="24"/>
        </w:rPr>
        <w:t xml:space="preserve"> </w:t>
      </w:r>
      <w:hyperlink r:id="rId7" w:history="1">
        <w:r w:rsidRPr="003B3586">
          <w:rPr>
            <w:rStyle w:val="Hyperlink"/>
            <w:rFonts w:ascii="Times New Roman" w:hAnsi="Times New Roman" w:cs="Times New Roman"/>
            <w:sz w:val="24"/>
            <w:szCs w:val="24"/>
          </w:rPr>
          <w:t>https://www.nber.org/papers/w31332</w:t>
        </w:r>
      </w:hyperlink>
    </w:p>
    <w:p w14:paraId="6B9D6D29" w14:textId="77777777" w:rsidR="00667AA7" w:rsidRPr="003B3586" w:rsidRDefault="00667AA7" w:rsidP="00667AA7">
      <w:pPr>
        <w:spacing w:line="480" w:lineRule="auto"/>
        <w:ind w:left="720" w:hanging="720"/>
        <w:rPr>
          <w:rFonts w:ascii="Times New Roman" w:hAnsi="Times New Roman" w:cs="Times New Roman"/>
          <w:sz w:val="24"/>
          <w:szCs w:val="24"/>
        </w:rPr>
      </w:pPr>
      <w:r w:rsidRPr="003B3586">
        <w:rPr>
          <w:rFonts w:ascii="Times New Roman" w:hAnsi="Times New Roman" w:cs="Times New Roman"/>
          <w:sz w:val="24"/>
          <w:szCs w:val="24"/>
        </w:rPr>
        <w:t>Blanck, P. (2023). On the importance of the Americans with Disabilities Act at 30. </w:t>
      </w:r>
      <w:r w:rsidRPr="003B3586">
        <w:rPr>
          <w:rFonts w:ascii="Times New Roman" w:hAnsi="Times New Roman" w:cs="Times New Roman"/>
          <w:i/>
          <w:iCs/>
          <w:sz w:val="24"/>
          <w:szCs w:val="24"/>
        </w:rPr>
        <w:t>Journal of Disability Policy Studies</w:t>
      </w:r>
      <w:r w:rsidRPr="003B3586">
        <w:rPr>
          <w:rFonts w:ascii="Times New Roman" w:hAnsi="Times New Roman" w:cs="Times New Roman"/>
          <w:sz w:val="24"/>
          <w:szCs w:val="24"/>
        </w:rPr>
        <w:t>, </w:t>
      </w:r>
      <w:r w:rsidRPr="003B3586">
        <w:rPr>
          <w:rFonts w:ascii="Times New Roman" w:hAnsi="Times New Roman" w:cs="Times New Roman"/>
          <w:i/>
          <w:iCs/>
          <w:sz w:val="24"/>
          <w:szCs w:val="24"/>
        </w:rPr>
        <w:t>34</w:t>
      </w:r>
      <w:r w:rsidRPr="003B3586">
        <w:rPr>
          <w:rFonts w:ascii="Times New Roman" w:hAnsi="Times New Roman" w:cs="Times New Roman"/>
          <w:sz w:val="24"/>
          <w:szCs w:val="24"/>
        </w:rPr>
        <w:t>(3), 176-198.</w:t>
      </w:r>
    </w:p>
    <w:p w14:paraId="11719EA1" w14:textId="77777777" w:rsidR="00667AA7" w:rsidRPr="003B3586" w:rsidRDefault="00667AA7" w:rsidP="00667AA7">
      <w:pPr>
        <w:spacing w:line="480" w:lineRule="auto"/>
        <w:ind w:left="720" w:hanging="720"/>
        <w:rPr>
          <w:rFonts w:ascii="Times New Roman" w:hAnsi="Times New Roman" w:cs="Times New Roman"/>
          <w:sz w:val="24"/>
          <w:szCs w:val="24"/>
        </w:rPr>
      </w:pPr>
      <w:r w:rsidRPr="003B3586">
        <w:rPr>
          <w:rFonts w:ascii="Times New Roman" w:hAnsi="Times New Roman" w:cs="Times New Roman"/>
          <w:sz w:val="24"/>
          <w:szCs w:val="24"/>
        </w:rPr>
        <w:t>EEPC</w:t>
      </w:r>
      <w:r w:rsidRPr="003B3586">
        <w:rPr>
          <w:rFonts w:ascii="Times New Roman" w:hAnsi="Times New Roman" w:cs="Times New Roman"/>
          <w:sz w:val="24"/>
          <w:szCs w:val="24"/>
        </w:rPr>
        <w:t xml:space="preserve"> </w:t>
      </w:r>
      <w:r w:rsidRPr="003B3586">
        <w:rPr>
          <w:rFonts w:ascii="Times New Roman" w:hAnsi="Times New Roman" w:cs="Times New Roman"/>
          <w:sz w:val="24"/>
          <w:szCs w:val="24"/>
        </w:rPr>
        <w:t xml:space="preserve">(2015). Equal Employment Practices Commission. </w:t>
      </w:r>
      <w:hyperlink r:id="rId8" w:history="1">
        <w:r w:rsidRPr="003B3586">
          <w:rPr>
            <w:rStyle w:val="Hyperlink"/>
            <w:rFonts w:ascii="Times New Roman" w:hAnsi="Times New Roman" w:cs="Times New Roman"/>
            <w:sz w:val="24"/>
            <w:szCs w:val="24"/>
          </w:rPr>
          <w:t>https://www.nyc.gov/site/eepc/index.page</w:t>
        </w:r>
      </w:hyperlink>
    </w:p>
    <w:p w14:paraId="4EDF4D25" w14:textId="77777777" w:rsidR="00667AA7" w:rsidRPr="003B3586" w:rsidRDefault="00667AA7" w:rsidP="00667AA7">
      <w:pPr>
        <w:spacing w:line="480" w:lineRule="auto"/>
        <w:ind w:left="720" w:hanging="720"/>
        <w:rPr>
          <w:rFonts w:ascii="Times New Roman" w:hAnsi="Times New Roman" w:cs="Times New Roman"/>
          <w:sz w:val="24"/>
          <w:szCs w:val="24"/>
        </w:rPr>
      </w:pPr>
      <w:r w:rsidRPr="003B3586">
        <w:rPr>
          <w:rFonts w:ascii="Times New Roman" w:hAnsi="Times New Roman" w:cs="Times New Roman"/>
          <w:sz w:val="24"/>
          <w:szCs w:val="24"/>
        </w:rPr>
        <w:t>Lenartz, A., Scherer, A. M., Uhlmann, W. R., Suter, S. M., Hartley, C. A., &amp; Prince, A. E. (2021). The persistent lack of knowledge and misunderstanding of the Genetic Information Nondiscrimination Act (GINA) more than a decade after passage. </w:t>
      </w:r>
      <w:r w:rsidRPr="003B3586">
        <w:rPr>
          <w:rFonts w:ascii="Times New Roman" w:hAnsi="Times New Roman" w:cs="Times New Roman"/>
          <w:i/>
          <w:iCs/>
          <w:sz w:val="24"/>
          <w:szCs w:val="24"/>
        </w:rPr>
        <w:t>Genetics in medicine</w:t>
      </w:r>
      <w:r w:rsidRPr="003B3586">
        <w:rPr>
          <w:rFonts w:ascii="Times New Roman" w:hAnsi="Times New Roman" w:cs="Times New Roman"/>
          <w:sz w:val="24"/>
          <w:szCs w:val="24"/>
        </w:rPr>
        <w:t>, </w:t>
      </w:r>
      <w:r w:rsidRPr="003B3586">
        <w:rPr>
          <w:rFonts w:ascii="Times New Roman" w:hAnsi="Times New Roman" w:cs="Times New Roman"/>
          <w:i/>
          <w:iCs/>
          <w:sz w:val="24"/>
          <w:szCs w:val="24"/>
        </w:rPr>
        <w:t>23</w:t>
      </w:r>
      <w:r w:rsidRPr="003B3586">
        <w:rPr>
          <w:rFonts w:ascii="Times New Roman" w:hAnsi="Times New Roman" w:cs="Times New Roman"/>
          <w:sz w:val="24"/>
          <w:szCs w:val="24"/>
        </w:rPr>
        <w:t>(12), 2324-2334.</w:t>
      </w:r>
      <w:r w:rsidRPr="003B3586">
        <w:rPr>
          <w:rFonts w:ascii="Times New Roman" w:hAnsi="Times New Roman" w:cs="Times New Roman"/>
          <w:sz w:val="24"/>
          <w:szCs w:val="24"/>
        </w:rPr>
        <w:t xml:space="preserve"> </w:t>
      </w:r>
      <w:hyperlink r:id="rId9" w:history="1">
        <w:r w:rsidRPr="003B3586">
          <w:rPr>
            <w:rStyle w:val="Hyperlink"/>
            <w:rFonts w:ascii="Times New Roman" w:hAnsi="Times New Roman" w:cs="Times New Roman"/>
            <w:sz w:val="24"/>
            <w:szCs w:val="24"/>
          </w:rPr>
          <w:t>https://doi.org/10.1038/s41436-021-01268-w</w:t>
        </w:r>
      </w:hyperlink>
    </w:p>
    <w:p w14:paraId="679F694B" w14:textId="77777777" w:rsidR="00667AA7" w:rsidRPr="003B3586" w:rsidRDefault="00667AA7" w:rsidP="00667AA7">
      <w:pPr>
        <w:spacing w:line="480" w:lineRule="auto"/>
        <w:ind w:left="720" w:hanging="720"/>
        <w:rPr>
          <w:rFonts w:ascii="Times New Roman" w:hAnsi="Times New Roman" w:cs="Times New Roman"/>
          <w:sz w:val="24"/>
          <w:szCs w:val="24"/>
        </w:rPr>
      </w:pPr>
      <w:r w:rsidRPr="003B3586">
        <w:rPr>
          <w:rFonts w:ascii="Times New Roman" w:hAnsi="Times New Roman" w:cs="Times New Roman"/>
          <w:sz w:val="24"/>
          <w:szCs w:val="24"/>
        </w:rPr>
        <w:t>McCann, C., &amp; Tomaskovic-Devey, D. (2021). Pregnancy Discrimination at Work.</w:t>
      </w:r>
      <w:r w:rsidRPr="003B3586">
        <w:rPr>
          <w:rFonts w:ascii="Times New Roman" w:hAnsi="Times New Roman" w:cs="Times New Roman"/>
          <w:sz w:val="24"/>
          <w:szCs w:val="24"/>
        </w:rPr>
        <w:t xml:space="preserve"> </w:t>
      </w:r>
      <w:hyperlink r:id="rId10" w:history="1">
        <w:r w:rsidRPr="003B3586">
          <w:rPr>
            <w:rStyle w:val="Hyperlink"/>
            <w:rFonts w:ascii="Times New Roman" w:hAnsi="Times New Roman" w:cs="Times New Roman"/>
            <w:sz w:val="24"/>
            <w:szCs w:val="24"/>
          </w:rPr>
          <w:t>https://www.umass.edu/employmentequity/sites/default/files/Pregnancy%20Discrimination%20at%20Work.pdf</w:t>
        </w:r>
      </w:hyperlink>
    </w:p>
    <w:p w14:paraId="7826D0BC" w14:textId="6CB78955" w:rsidR="009E7B9D" w:rsidRPr="003B3586" w:rsidRDefault="00667AA7" w:rsidP="00667AA7">
      <w:pPr>
        <w:spacing w:line="480" w:lineRule="auto"/>
        <w:ind w:left="720" w:hanging="720"/>
        <w:rPr>
          <w:rFonts w:ascii="Times New Roman" w:hAnsi="Times New Roman" w:cs="Times New Roman"/>
          <w:sz w:val="24"/>
          <w:szCs w:val="24"/>
        </w:rPr>
      </w:pPr>
      <w:r w:rsidRPr="003B3586">
        <w:rPr>
          <w:rFonts w:ascii="Times New Roman" w:hAnsi="Times New Roman" w:cs="Times New Roman"/>
          <w:sz w:val="24"/>
          <w:szCs w:val="24"/>
        </w:rPr>
        <w:t xml:space="preserve">Murphy, K. L. (2020). Civil rights laws: Americans with Disabilities Act of 1990 and section 504 of the Rehabilitation Act of 1973: IA v. Seguin </w:t>
      </w:r>
      <w:proofErr w:type="spellStart"/>
      <w:r w:rsidRPr="003B3586">
        <w:rPr>
          <w:rFonts w:ascii="Times New Roman" w:hAnsi="Times New Roman" w:cs="Times New Roman"/>
          <w:sz w:val="24"/>
          <w:szCs w:val="24"/>
        </w:rPr>
        <w:t>indep</w:t>
      </w:r>
      <w:proofErr w:type="spellEnd"/>
      <w:r w:rsidRPr="003B3586">
        <w:rPr>
          <w:rFonts w:ascii="Times New Roman" w:hAnsi="Times New Roman" w:cs="Times New Roman"/>
          <w:sz w:val="24"/>
          <w:szCs w:val="24"/>
        </w:rPr>
        <w:t xml:space="preserve">. sch. dist. 881 F. supp. </w:t>
      </w:r>
      <w:proofErr w:type="spellStart"/>
      <w:r w:rsidRPr="003B3586">
        <w:rPr>
          <w:rFonts w:ascii="Times New Roman" w:hAnsi="Times New Roman" w:cs="Times New Roman"/>
          <w:sz w:val="24"/>
          <w:szCs w:val="24"/>
        </w:rPr>
        <w:t>2d</w:t>
      </w:r>
      <w:proofErr w:type="spellEnd"/>
      <w:r w:rsidRPr="003B3586">
        <w:rPr>
          <w:rFonts w:ascii="Times New Roman" w:hAnsi="Times New Roman" w:cs="Times New Roman"/>
          <w:sz w:val="24"/>
          <w:szCs w:val="24"/>
        </w:rPr>
        <w:t xml:space="preserve"> 770. </w:t>
      </w:r>
      <w:r w:rsidRPr="003B3586">
        <w:rPr>
          <w:rFonts w:ascii="Times New Roman" w:hAnsi="Times New Roman" w:cs="Times New Roman"/>
          <w:i/>
          <w:iCs/>
          <w:sz w:val="24"/>
          <w:szCs w:val="24"/>
        </w:rPr>
        <w:t>Journal of Physical Education, Recreation &amp; Dance</w:t>
      </w:r>
      <w:r w:rsidRPr="003B3586">
        <w:rPr>
          <w:rFonts w:ascii="Times New Roman" w:hAnsi="Times New Roman" w:cs="Times New Roman"/>
          <w:sz w:val="24"/>
          <w:szCs w:val="24"/>
        </w:rPr>
        <w:t>, </w:t>
      </w:r>
      <w:r w:rsidRPr="003B3586">
        <w:rPr>
          <w:rFonts w:ascii="Times New Roman" w:hAnsi="Times New Roman" w:cs="Times New Roman"/>
          <w:i/>
          <w:iCs/>
          <w:sz w:val="24"/>
          <w:szCs w:val="24"/>
        </w:rPr>
        <w:t>92</w:t>
      </w:r>
      <w:r w:rsidRPr="003B3586">
        <w:rPr>
          <w:rFonts w:ascii="Times New Roman" w:hAnsi="Times New Roman" w:cs="Times New Roman"/>
          <w:sz w:val="24"/>
          <w:szCs w:val="24"/>
        </w:rPr>
        <w:t>(1), 57-59.</w:t>
      </w:r>
      <w:r w:rsidRPr="003B3586">
        <w:rPr>
          <w:rFonts w:ascii="Times New Roman" w:hAnsi="Times New Roman" w:cs="Times New Roman"/>
          <w:sz w:val="24"/>
          <w:szCs w:val="24"/>
        </w:rPr>
        <w:t xml:space="preserve"> </w:t>
      </w:r>
      <w:hyperlink r:id="rId11" w:history="1">
        <w:r w:rsidRPr="003B3586">
          <w:rPr>
            <w:rStyle w:val="Hyperlink"/>
            <w:rFonts w:ascii="Times New Roman" w:hAnsi="Times New Roman" w:cs="Times New Roman"/>
            <w:sz w:val="24"/>
            <w:szCs w:val="24"/>
          </w:rPr>
          <w:t>https://doi.org/10.1080/07303084.2021.1844555</w:t>
        </w:r>
      </w:hyperlink>
    </w:p>
    <w:sectPr w:rsidR="009E7B9D" w:rsidRPr="003B358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E52C2" w14:textId="77777777" w:rsidR="006855BD" w:rsidRDefault="006855BD" w:rsidP="003B3586">
      <w:pPr>
        <w:spacing w:after="0" w:line="240" w:lineRule="auto"/>
      </w:pPr>
      <w:r>
        <w:separator/>
      </w:r>
    </w:p>
  </w:endnote>
  <w:endnote w:type="continuationSeparator" w:id="0">
    <w:p w14:paraId="16CA641A" w14:textId="77777777" w:rsidR="006855BD" w:rsidRDefault="006855BD" w:rsidP="003B3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C21D6" w14:textId="77777777" w:rsidR="006855BD" w:rsidRDefault="006855BD" w:rsidP="003B3586">
      <w:pPr>
        <w:spacing w:after="0" w:line="240" w:lineRule="auto"/>
      </w:pPr>
      <w:r>
        <w:separator/>
      </w:r>
    </w:p>
  </w:footnote>
  <w:footnote w:type="continuationSeparator" w:id="0">
    <w:p w14:paraId="57AF1D10" w14:textId="77777777" w:rsidR="006855BD" w:rsidRDefault="006855BD" w:rsidP="003B35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30496405"/>
      <w:docPartObj>
        <w:docPartGallery w:val="Page Numbers (Top of Page)"/>
        <w:docPartUnique/>
      </w:docPartObj>
    </w:sdtPr>
    <w:sdtEndPr>
      <w:rPr>
        <w:noProof/>
      </w:rPr>
    </w:sdtEndPr>
    <w:sdtContent>
      <w:p w14:paraId="719B21F1" w14:textId="3678E2F0" w:rsidR="003B3586" w:rsidRPr="003B3586" w:rsidRDefault="003B3586" w:rsidP="003B3586">
        <w:pPr>
          <w:pStyle w:val="Header"/>
          <w:jc w:val="right"/>
          <w:rPr>
            <w:rFonts w:ascii="Times New Roman" w:hAnsi="Times New Roman" w:cs="Times New Roman"/>
            <w:sz w:val="24"/>
            <w:szCs w:val="24"/>
          </w:rPr>
        </w:pPr>
        <w:r w:rsidRPr="003B3586">
          <w:rPr>
            <w:rFonts w:ascii="Times New Roman" w:hAnsi="Times New Roman" w:cs="Times New Roman"/>
            <w:sz w:val="24"/>
            <w:szCs w:val="24"/>
          </w:rPr>
          <w:fldChar w:fldCharType="begin"/>
        </w:r>
        <w:r w:rsidRPr="003B3586">
          <w:rPr>
            <w:rFonts w:ascii="Times New Roman" w:hAnsi="Times New Roman" w:cs="Times New Roman"/>
            <w:sz w:val="24"/>
            <w:szCs w:val="24"/>
          </w:rPr>
          <w:instrText xml:space="preserve"> PAGE   \* MERGEFORMAT </w:instrText>
        </w:r>
        <w:r w:rsidRPr="003B3586">
          <w:rPr>
            <w:rFonts w:ascii="Times New Roman" w:hAnsi="Times New Roman" w:cs="Times New Roman"/>
            <w:sz w:val="24"/>
            <w:szCs w:val="24"/>
          </w:rPr>
          <w:fldChar w:fldCharType="separate"/>
        </w:r>
        <w:r w:rsidRPr="003B3586">
          <w:rPr>
            <w:rFonts w:ascii="Times New Roman" w:hAnsi="Times New Roman" w:cs="Times New Roman"/>
            <w:noProof/>
            <w:sz w:val="24"/>
            <w:szCs w:val="24"/>
          </w:rPr>
          <w:t>2</w:t>
        </w:r>
        <w:r w:rsidRPr="003B3586">
          <w:rPr>
            <w:rFonts w:ascii="Times New Roman" w:hAnsi="Times New Roman" w:cs="Times New Roman"/>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7BC"/>
    <w:multiLevelType w:val="multilevel"/>
    <w:tmpl w:val="85EA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F1951"/>
    <w:multiLevelType w:val="multilevel"/>
    <w:tmpl w:val="EAB4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604D7F"/>
    <w:multiLevelType w:val="multilevel"/>
    <w:tmpl w:val="9354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7020DC"/>
    <w:multiLevelType w:val="multilevel"/>
    <w:tmpl w:val="7BCE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3D77E3"/>
    <w:multiLevelType w:val="multilevel"/>
    <w:tmpl w:val="18EC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1095024">
    <w:abstractNumId w:val="3"/>
  </w:num>
  <w:num w:numId="2" w16cid:durableId="1029912574">
    <w:abstractNumId w:val="1"/>
  </w:num>
  <w:num w:numId="3" w16cid:durableId="496196263">
    <w:abstractNumId w:val="0"/>
  </w:num>
  <w:num w:numId="4" w16cid:durableId="418598653">
    <w:abstractNumId w:val="2"/>
  </w:num>
  <w:num w:numId="5" w16cid:durableId="3662236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D1D"/>
    <w:rsid w:val="00013032"/>
    <w:rsid w:val="0005067E"/>
    <w:rsid w:val="00063AC0"/>
    <w:rsid w:val="00084A06"/>
    <w:rsid w:val="000945C0"/>
    <w:rsid w:val="001324FE"/>
    <w:rsid w:val="001B20A6"/>
    <w:rsid w:val="001B2951"/>
    <w:rsid w:val="001C6273"/>
    <w:rsid w:val="00211AB4"/>
    <w:rsid w:val="00240F3A"/>
    <w:rsid w:val="002A5B57"/>
    <w:rsid w:val="002B0ED3"/>
    <w:rsid w:val="002B4B5E"/>
    <w:rsid w:val="00301857"/>
    <w:rsid w:val="003153EA"/>
    <w:rsid w:val="00320101"/>
    <w:rsid w:val="00345F70"/>
    <w:rsid w:val="00375398"/>
    <w:rsid w:val="00382E1B"/>
    <w:rsid w:val="003A5C97"/>
    <w:rsid w:val="003B3586"/>
    <w:rsid w:val="003D3DA0"/>
    <w:rsid w:val="003F6252"/>
    <w:rsid w:val="004174E4"/>
    <w:rsid w:val="00432C9F"/>
    <w:rsid w:val="0044183C"/>
    <w:rsid w:val="00453AFD"/>
    <w:rsid w:val="004C0965"/>
    <w:rsid w:val="004E6AE2"/>
    <w:rsid w:val="004F22D6"/>
    <w:rsid w:val="00512A1D"/>
    <w:rsid w:val="0051556D"/>
    <w:rsid w:val="00534835"/>
    <w:rsid w:val="00562824"/>
    <w:rsid w:val="005B0D1D"/>
    <w:rsid w:val="005C23A6"/>
    <w:rsid w:val="005C62B7"/>
    <w:rsid w:val="00641CCF"/>
    <w:rsid w:val="00667AA7"/>
    <w:rsid w:val="006716A5"/>
    <w:rsid w:val="006855BD"/>
    <w:rsid w:val="006D2A23"/>
    <w:rsid w:val="007160EE"/>
    <w:rsid w:val="0088583E"/>
    <w:rsid w:val="00895DBF"/>
    <w:rsid w:val="008F6D43"/>
    <w:rsid w:val="00995B84"/>
    <w:rsid w:val="009E3BEE"/>
    <w:rsid w:val="009E7B9D"/>
    <w:rsid w:val="00A17AB3"/>
    <w:rsid w:val="00AA5A38"/>
    <w:rsid w:val="00AE3156"/>
    <w:rsid w:val="00B32424"/>
    <w:rsid w:val="00B3310F"/>
    <w:rsid w:val="00B46546"/>
    <w:rsid w:val="00B824B5"/>
    <w:rsid w:val="00BC49C8"/>
    <w:rsid w:val="00C02808"/>
    <w:rsid w:val="00C830C8"/>
    <w:rsid w:val="00CB3BB6"/>
    <w:rsid w:val="00CD031C"/>
    <w:rsid w:val="00CD78AE"/>
    <w:rsid w:val="00D04938"/>
    <w:rsid w:val="00D04B4D"/>
    <w:rsid w:val="00D14AB4"/>
    <w:rsid w:val="00D53BC9"/>
    <w:rsid w:val="00DA168D"/>
    <w:rsid w:val="00DD43C1"/>
    <w:rsid w:val="00DE1D58"/>
    <w:rsid w:val="00E9194D"/>
    <w:rsid w:val="00F1007D"/>
    <w:rsid w:val="00F436C5"/>
    <w:rsid w:val="00F9116A"/>
    <w:rsid w:val="00FA28E3"/>
    <w:rsid w:val="00FC4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5A300"/>
  <w15:chartTrackingRefBased/>
  <w15:docId w15:val="{4DDE1EC5-BC97-42F7-80C1-4573953CF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16A5"/>
    <w:rPr>
      <w:color w:val="0563C1" w:themeColor="hyperlink"/>
      <w:u w:val="single"/>
    </w:rPr>
  </w:style>
  <w:style w:type="character" w:styleId="UnresolvedMention">
    <w:name w:val="Unresolved Mention"/>
    <w:basedOn w:val="DefaultParagraphFont"/>
    <w:uiPriority w:val="99"/>
    <w:semiHidden/>
    <w:unhideWhenUsed/>
    <w:rsid w:val="006716A5"/>
    <w:rPr>
      <w:color w:val="605E5C"/>
      <w:shd w:val="clear" w:color="auto" w:fill="E1DFDD"/>
    </w:rPr>
  </w:style>
  <w:style w:type="paragraph" w:styleId="NormalWeb">
    <w:name w:val="Normal (Web)"/>
    <w:basedOn w:val="Normal"/>
    <w:uiPriority w:val="99"/>
    <w:semiHidden/>
    <w:unhideWhenUsed/>
    <w:rsid w:val="00DE1D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3B35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586"/>
  </w:style>
  <w:style w:type="paragraph" w:styleId="Footer">
    <w:name w:val="footer"/>
    <w:basedOn w:val="Normal"/>
    <w:link w:val="FooterChar"/>
    <w:uiPriority w:val="99"/>
    <w:unhideWhenUsed/>
    <w:rsid w:val="003B35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07074">
      <w:bodyDiv w:val="1"/>
      <w:marLeft w:val="0"/>
      <w:marRight w:val="0"/>
      <w:marTop w:val="0"/>
      <w:marBottom w:val="0"/>
      <w:divBdr>
        <w:top w:val="none" w:sz="0" w:space="0" w:color="auto"/>
        <w:left w:val="none" w:sz="0" w:space="0" w:color="auto"/>
        <w:bottom w:val="none" w:sz="0" w:space="0" w:color="auto"/>
        <w:right w:val="none" w:sz="0" w:space="0" w:color="auto"/>
      </w:divBdr>
    </w:div>
    <w:div w:id="171602309">
      <w:bodyDiv w:val="1"/>
      <w:marLeft w:val="0"/>
      <w:marRight w:val="0"/>
      <w:marTop w:val="0"/>
      <w:marBottom w:val="0"/>
      <w:divBdr>
        <w:top w:val="none" w:sz="0" w:space="0" w:color="auto"/>
        <w:left w:val="none" w:sz="0" w:space="0" w:color="auto"/>
        <w:bottom w:val="none" w:sz="0" w:space="0" w:color="auto"/>
        <w:right w:val="none" w:sz="0" w:space="0" w:color="auto"/>
      </w:divBdr>
    </w:div>
    <w:div w:id="193232362">
      <w:bodyDiv w:val="1"/>
      <w:marLeft w:val="0"/>
      <w:marRight w:val="0"/>
      <w:marTop w:val="0"/>
      <w:marBottom w:val="0"/>
      <w:divBdr>
        <w:top w:val="none" w:sz="0" w:space="0" w:color="auto"/>
        <w:left w:val="none" w:sz="0" w:space="0" w:color="auto"/>
        <w:bottom w:val="none" w:sz="0" w:space="0" w:color="auto"/>
        <w:right w:val="none" w:sz="0" w:space="0" w:color="auto"/>
      </w:divBdr>
    </w:div>
    <w:div w:id="283510964">
      <w:bodyDiv w:val="1"/>
      <w:marLeft w:val="0"/>
      <w:marRight w:val="0"/>
      <w:marTop w:val="0"/>
      <w:marBottom w:val="0"/>
      <w:divBdr>
        <w:top w:val="none" w:sz="0" w:space="0" w:color="auto"/>
        <w:left w:val="none" w:sz="0" w:space="0" w:color="auto"/>
        <w:bottom w:val="none" w:sz="0" w:space="0" w:color="auto"/>
        <w:right w:val="none" w:sz="0" w:space="0" w:color="auto"/>
      </w:divBdr>
    </w:div>
    <w:div w:id="321126636">
      <w:bodyDiv w:val="1"/>
      <w:marLeft w:val="0"/>
      <w:marRight w:val="0"/>
      <w:marTop w:val="0"/>
      <w:marBottom w:val="0"/>
      <w:divBdr>
        <w:top w:val="none" w:sz="0" w:space="0" w:color="auto"/>
        <w:left w:val="none" w:sz="0" w:space="0" w:color="auto"/>
        <w:bottom w:val="none" w:sz="0" w:space="0" w:color="auto"/>
        <w:right w:val="none" w:sz="0" w:space="0" w:color="auto"/>
      </w:divBdr>
    </w:div>
    <w:div w:id="337467590">
      <w:bodyDiv w:val="1"/>
      <w:marLeft w:val="0"/>
      <w:marRight w:val="0"/>
      <w:marTop w:val="0"/>
      <w:marBottom w:val="0"/>
      <w:divBdr>
        <w:top w:val="none" w:sz="0" w:space="0" w:color="auto"/>
        <w:left w:val="none" w:sz="0" w:space="0" w:color="auto"/>
        <w:bottom w:val="none" w:sz="0" w:space="0" w:color="auto"/>
        <w:right w:val="none" w:sz="0" w:space="0" w:color="auto"/>
      </w:divBdr>
      <w:divsChild>
        <w:div w:id="34502324">
          <w:marLeft w:val="0"/>
          <w:marRight w:val="0"/>
          <w:marTop w:val="0"/>
          <w:marBottom w:val="0"/>
          <w:divBdr>
            <w:top w:val="none" w:sz="0" w:space="0" w:color="auto"/>
            <w:left w:val="none" w:sz="0" w:space="0" w:color="auto"/>
            <w:bottom w:val="none" w:sz="0" w:space="0" w:color="auto"/>
            <w:right w:val="none" w:sz="0" w:space="0" w:color="auto"/>
          </w:divBdr>
          <w:divsChild>
            <w:div w:id="1189371557">
              <w:marLeft w:val="0"/>
              <w:marRight w:val="0"/>
              <w:marTop w:val="0"/>
              <w:marBottom w:val="0"/>
              <w:divBdr>
                <w:top w:val="none" w:sz="0" w:space="0" w:color="auto"/>
                <w:left w:val="none" w:sz="0" w:space="0" w:color="auto"/>
                <w:bottom w:val="none" w:sz="0" w:space="0" w:color="auto"/>
                <w:right w:val="none" w:sz="0" w:space="0" w:color="auto"/>
              </w:divBdr>
              <w:divsChild>
                <w:div w:id="846670606">
                  <w:marLeft w:val="0"/>
                  <w:marRight w:val="0"/>
                  <w:marTop w:val="0"/>
                  <w:marBottom w:val="0"/>
                  <w:divBdr>
                    <w:top w:val="none" w:sz="0" w:space="0" w:color="auto"/>
                    <w:left w:val="none" w:sz="0" w:space="0" w:color="auto"/>
                    <w:bottom w:val="none" w:sz="0" w:space="0" w:color="auto"/>
                    <w:right w:val="none" w:sz="0" w:space="0" w:color="auto"/>
                  </w:divBdr>
                  <w:divsChild>
                    <w:div w:id="189342217">
                      <w:marLeft w:val="0"/>
                      <w:marRight w:val="0"/>
                      <w:marTop w:val="0"/>
                      <w:marBottom w:val="0"/>
                      <w:divBdr>
                        <w:top w:val="none" w:sz="0" w:space="0" w:color="auto"/>
                        <w:left w:val="none" w:sz="0" w:space="0" w:color="auto"/>
                        <w:bottom w:val="none" w:sz="0" w:space="0" w:color="auto"/>
                        <w:right w:val="none" w:sz="0" w:space="0" w:color="auto"/>
                      </w:divBdr>
                      <w:divsChild>
                        <w:div w:id="119472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312401">
      <w:bodyDiv w:val="1"/>
      <w:marLeft w:val="0"/>
      <w:marRight w:val="0"/>
      <w:marTop w:val="0"/>
      <w:marBottom w:val="0"/>
      <w:divBdr>
        <w:top w:val="none" w:sz="0" w:space="0" w:color="auto"/>
        <w:left w:val="none" w:sz="0" w:space="0" w:color="auto"/>
        <w:bottom w:val="none" w:sz="0" w:space="0" w:color="auto"/>
        <w:right w:val="none" w:sz="0" w:space="0" w:color="auto"/>
      </w:divBdr>
    </w:div>
    <w:div w:id="759984450">
      <w:bodyDiv w:val="1"/>
      <w:marLeft w:val="0"/>
      <w:marRight w:val="0"/>
      <w:marTop w:val="0"/>
      <w:marBottom w:val="0"/>
      <w:divBdr>
        <w:top w:val="none" w:sz="0" w:space="0" w:color="auto"/>
        <w:left w:val="none" w:sz="0" w:space="0" w:color="auto"/>
        <w:bottom w:val="none" w:sz="0" w:space="0" w:color="auto"/>
        <w:right w:val="none" w:sz="0" w:space="0" w:color="auto"/>
      </w:divBdr>
    </w:div>
    <w:div w:id="806439036">
      <w:bodyDiv w:val="1"/>
      <w:marLeft w:val="0"/>
      <w:marRight w:val="0"/>
      <w:marTop w:val="0"/>
      <w:marBottom w:val="0"/>
      <w:divBdr>
        <w:top w:val="none" w:sz="0" w:space="0" w:color="auto"/>
        <w:left w:val="none" w:sz="0" w:space="0" w:color="auto"/>
        <w:bottom w:val="none" w:sz="0" w:space="0" w:color="auto"/>
        <w:right w:val="none" w:sz="0" w:space="0" w:color="auto"/>
      </w:divBdr>
    </w:div>
    <w:div w:id="819081558">
      <w:bodyDiv w:val="1"/>
      <w:marLeft w:val="0"/>
      <w:marRight w:val="0"/>
      <w:marTop w:val="0"/>
      <w:marBottom w:val="0"/>
      <w:divBdr>
        <w:top w:val="none" w:sz="0" w:space="0" w:color="auto"/>
        <w:left w:val="none" w:sz="0" w:space="0" w:color="auto"/>
        <w:bottom w:val="none" w:sz="0" w:space="0" w:color="auto"/>
        <w:right w:val="none" w:sz="0" w:space="0" w:color="auto"/>
      </w:divBdr>
    </w:div>
    <w:div w:id="901404502">
      <w:bodyDiv w:val="1"/>
      <w:marLeft w:val="0"/>
      <w:marRight w:val="0"/>
      <w:marTop w:val="0"/>
      <w:marBottom w:val="0"/>
      <w:divBdr>
        <w:top w:val="none" w:sz="0" w:space="0" w:color="auto"/>
        <w:left w:val="none" w:sz="0" w:space="0" w:color="auto"/>
        <w:bottom w:val="none" w:sz="0" w:space="0" w:color="auto"/>
        <w:right w:val="none" w:sz="0" w:space="0" w:color="auto"/>
      </w:divBdr>
    </w:div>
    <w:div w:id="1247811498">
      <w:bodyDiv w:val="1"/>
      <w:marLeft w:val="0"/>
      <w:marRight w:val="0"/>
      <w:marTop w:val="0"/>
      <w:marBottom w:val="0"/>
      <w:divBdr>
        <w:top w:val="none" w:sz="0" w:space="0" w:color="auto"/>
        <w:left w:val="none" w:sz="0" w:space="0" w:color="auto"/>
        <w:bottom w:val="none" w:sz="0" w:space="0" w:color="auto"/>
        <w:right w:val="none" w:sz="0" w:space="0" w:color="auto"/>
      </w:divBdr>
    </w:div>
    <w:div w:id="1268344659">
      <w:bodyDiv w:val="1"/>
      <w:marLeft w:val="0"/>
      <w:marRight w:val="0"/>
      <w:marTop w:val="0"/>
      <w:marBottom w:val="0"/>
      <w:divBdr>
        <w:top w:val="none" w:sz="0" w:space="0" w:color="auto"/>
        <w:left w:val="none" w:sz="0" w:space="0" w:color="auto"/>
        <w:bottom w:val="none" w:sz="0" w:space="0" w:color="auto"/>
        <w:right w:val="none" w:sz="0" w:space="0" w:color="auto"/>
      </w:divBdr>
    </w:div>
    <w:div w:id="1468425962">
      <w:bodyDiv w:val="1"/>
      <w:marLeft w:val="0"/>
      <w:marRight w:val="0"/>
      <w:marTop w:val="0"/>
      <w:marBottom w:val="0"/>
      <w:divBdr>
        <w:top w:val="none" w:sz="0" w:space="0" w:color="auto"/>
        <w:left w:val="none" w:sz="0" w:space="0" w:color="auto"/>
        <w:bottom w:val="none" w:sz="0" w:space="0" w:color="auto"/>
        <w:right w:val="none" w:sz="0" w:space="0" w:color="auto"/>
      </w:divBdr>
    </w:div>
    <w:div w:id="1598825412">
      <w:bodyDiv w:val="1"/>
      <w:marLeft w:val="0"/>
      <w:marRight w:val="0"/>
      <w:marTop w:val="0"/>
      <w:marBottom w:val="0"/>
      <w:divBdr>
        <w:top w:val="none" w:sz="0" w:space="0" w:color="auto"/>
        <w:left w:val="none" w:sz="0" w:space="0" w:color="auto"/>
        <w:bottom w:val="none" w:sz="0" w:space="0" w:color="auto"/>
        <w:right w:val="none" w:sz="0" w:space="0" w:color="auto"/>
      </w:divBdr>
      <w:divsChild>
        <w:div w:id="585459368">
          <w:marLeft w:val="0"/>
          <w:marRight w:val="0"/>
          <w:marTop w:val="0"/>
          <w:marBottom w:val="0"/>
          <w:divBdr>
            <w:top w:val="none" w:sz="0" w:space="0" w:color="auto"/>
            <w:left w:val="none" w:sz="0" w:space="0" w:color="auto"/>
            <w:bottom w:val="none" w:sz="0" w:space="0" w:color="auto"/>
            <w:right w:val="none" w:sz="0" w:space="0" w:color="auto"/>
          </w:divBdr>
          <w:divsChild>
            <w:div w:id="46344512">
              <w:marLeft w:val="0"/>
              <w:marRight w:val="0"/>
              <w:marTop w:val="0"/>
              <w:marBottom w:val="0"/>
              <w:divBdr>
                <w:top w:val="none" w:sz="0" w:space="0" w:color="auto"/>
                <w:left w:val="none" w:sz="0" w:space="0" w:color="auto"/>
                <w:bottom w:val="none" w:sz="0" w:space="0" w:color="auto"/>
                <w:right w:val="none" w:sz="0" w:space="0" w:color="auto"/>
              </w:divBdr>
              <w:divsChild>
                <w:div w:id="982077576">
                  <w:marLeft w:val="0"/>
                  <w:marRight w:val="0"/>
                  <w:marTop w:val="0"/>
                  <w:marBottom w:val="0"/>
                  <w:divBdr>
                    <w:top w:val="none" w:sz="0" w:space="0" w:color="auto"/>
                    <w:left w:val="none" w:sz="0" w:space="0" w:color="auto"/>
                    <w:bottom w:val="none" w:sz="0" w:space="0" w:color="auto"/>
                    <w:right w:val="none" w:sz="0" w:space="0" w:color="auto"/>
                  </w:divBdr>
                  <w:divsChild>
                    <w:div w:id="1920871408">
                      <w:marLeft w:val="0"/>
                      <w:marRight w:val="0"/>
                      <w:marTop w:val="0"/>
                      <w:marBottom w:val="0"/>
                      <w:divBdr>
                        <w:top w:val="none" w:sz="0" w:space="0" w:color="auto"/>
                        <w:left w:val="none" w:sz="0" w:space="0" w:color="auto"/>
                        <w:bottom w:val="none" w:sz="0" w:space="0" w:color="auto"/>
                        <w:right w:val="none" w:sz="0" w:space="0" w:color="auto"/>
                      </w:divBdr>
                      <w:divsChild>
                        <w:div w:id="1947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374367">
      <w:bodyDiv w:val="1"/>
      <w:marLeft w:val="0"/>
      <w:marRight w:val="0"/>
      <w:marTop w:val="0"/>
      <w:marBottom w:val="0"/>
      <w:divBdr>
        <w:top w:val="none" w:sz="0" w:space="0" w:color="auto"/>
        <w:left w:val="none" w:sz="0" w:space="0" w:color="auto"/>
        <w:bottom w:val="none" w:sz="0" w:space="0" w:color="auto"/>
        <w:right w:val="none" w:sz="0" w:space="0" w:color="auto"/>
      </w:divBdr>
    </w:div>
    <w:div w:id="1645163979">
      <w:bodyDiv w:val="1"/>
      <w:marLeft w:val="0"/>
      <w:marRight w:val="0"/>
      <w:marTop w:val="0"/>
      <w:marBottom w:val="0"/>
      <w:divBdr>
        <w:top w:val="none" w:sz="0" w:space="0" w:color="auto"/>
        <w:left w:val="none" w:sz="0" w:space="0" w:color="auto"/>
        <w:bottom w:val="none" w:sz="0" w:space="0" w:color="auto"/>
        <w:right w:val="none" w:sz="0" w:space="0" w:color="auto"/>
      </w:divBdr>
    </w:div>
    <w:div w:id="1734888353">
      <w:bodyDiv w:val="1"/>
      <w:marLeft w:val="0"/>
      <w:marRight w:val="0"/>
      <w:marTop w:val="0"/>
      <w:marBottom w:val="0"/>
      <w:divBdr>
        <w:top w:val="none" w:sz="0" w:space="0" w:color="auto"/>
        <w:left w:val="none" w:sz="0" w:space="0" w:color="auto"/>
        <w:bottom w:val="none" w:sz="0" w:space="0" w:color="auto"/>
        <w:right w:val="none" w:sz="0" w:space="0" w:color="auto"/>
      </w:divBdr>
    </w:div>
    <w:div w:id="1768961738">
      <w:bodyDiv w:val="1"/>
      <w:marLeft w:val="0"/>
      <w:marRight w:val="0"/>
      <w:marTop w:val="0"/>
      <w:marBottom w:val="0"/>
      <w:divBdr>
        <w:top w:val="none" w:sz="0" w:space="0" w:color="auto"/>
        <w:left w:val="none" w:sz="0" w:space="0" w:color="auto"/>
        <w:bottom w:val="none" w:sz="0" w:space="0" w:color="auto"/>
        <w:right w:val="none" w:sz="0" w:space="0" w:color="auto"/>
      </w:divBdr>
    </w:div>
    <w:div w:id="1967153349">
      <w:bodyDiv w:val="1"/>
      <w:marLeft w:val="0"/>
      <w:marRight w:val="0"/>
      <w:marTop w:val="0"/>
      <w:marBottom w:val="0"/>
      <w:divBdr>
        <w:top w:val="none" w:sz="0" w:space="0" w:color="auto"/>
        <w:left w:val="none" w:sz="0" w:space="0" w:color="auto"/>
        <w:bottom w:val="none" w:sz="0" w:space="0" w:color="auto"/>
        <w:right w:val="none" w:sz="0" w:space="0" w:color="auto"/>
      </w:divBdr>
    </w:div>
    <w:div w:id="207854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c.gov/site/eepc/index.pag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ber.org/papers/w31332"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0/07303084.2021.1844555" TargetMode="External"/><Relationship Id="rId5" Type="http://schemas.openxmlformats.org/officeDocument/2006/relationships/footnotes" Target="footnotes.xml"/><Relationship Id="rId10" Type="http://schemas.openxmlformats.org/officeDocument/2006/relationships/hyperlink" Target="https://www.umass.edu/employmentequity/sites/default/files/Pregnancy%20Discrimination%20at%20Work.pdf" TargetMode="External"/><Relationship Id="rId4" Type="http://schemas.openxmlformats.org/officeDocument/2006/relationships/webSettings" Target="webSettings.xml"/><Relationship Id="rId9" Type="http://schemas.openxmlformats.org/officeDocument/2006/relationships/hyperlink" Target="https://doi.org/10.1038/s41436-021-01268-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7</Pages>
  <Words>1642</Words>
  <Characters>9364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8</cp:revision>
  <dcterms:created xsi:type="dcterms:W3CDTF">2024-03-21T09:05:00Z</dcterms:created>
  <dcterms:modified xsi:type="dcterms:W3CDTF">2024-03-21T13:50:00Z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2024-03-21T09:51:34Z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33cb5af8-c322-4119-8d11-8bbfc1d63aae</vt:lpwstr>
  </property>
  <property fmtid="{D5CDD505-2E9C-101B-9397-08002B2CF9AE}" pid="7" name="MSIP_Label_defa4170-0d19-0005-0004-bc88714345d2_ActionId">
    <vt:lpwstr>b04f7cc3-e728-4904-aeb4-08f7436d38ce</vt:lpwstr>
  </property>
  <property fmtid="{D5CDD505-2E9C-101B-9397-08002B2CF9AE}" pid="8" name="MSIP_Label_defa4170-0d19-0005-0004-bc88714345d2_ContentBits">
    <vt:lpwstr>0</vt:lpwstr>
  </property>
</Properties>
</file>