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720"/>
        </w:tabs>
        <w:jc w:val="both"/>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2">
      <w:pPr>
        <w:pageBreakBefore w:val="0"/>
        <w:tabs>
          <w:tab w:val="left" w:leader="none" w:pos="720"/>
        </w:tabs>
        <w:jc w:val="both"/>
        <w:rPr>
          <w:sz w:val="32"/>
          <w:szCs w:val="32"/>
        </w:rPr>
      </w:pPr>
      <w:r w:rsidDel="00000000" w:rsidR="00000000" w:rsidRPr="00000000">
        <w:rPr>
          <w:sz w:val="22"/>
          <w:szCs w:val="22"/>
          <w:rtl w:val="0"/>
        </w:rPr>
        <w:t xml:space="preserve">Matej Vitek</w:t>
      </w:r>
      <w:r w:rsidDel="00000000" w:rsidR="00000000" w:rsidRPr="00000000">
        <w:rPr>
          <w:rtl w:val="0"/>
        </w:rPr>
      </w:r>
    </w:p>
    <w:p w:rsidR="00000000" w:rsidDel="00000000" w:rsidP="00000000" w:rsidRDefault="00000000" w:rsidRPr="00000000" w14:paraId="00000003">
      <w:pPr>
        <w:pageBreakBefore w:val="0"/>
        <w:tabs>
          <w:tab w:val="left" w:leader="none" w:pos="720"/>
        </w:tabs>
        <w:jc w:val="both"/>
        <w:rPr>
          <w:sz w:val="22"/>
          <w:szCs w:val="22"/>
        </w:rPr>
      </w:pPr>
      <w:r w:rsidDel="00000000" w:rsidR="00000000" w:rsidRPr="00000000">
        <w:rPr>
          <w:sz w:val="22"/>
          <w:szCs w:val="22"/>
          <w:rtl w:val="0"/>
        </w:rPr>
        <w:t xml:space="preserve">Computer Vision Laboratory</w:t>
      </w:r>
    </w:p>
    <w:p w:rsidR="00000000" w:rsidDel="00000000" w:rsidP="00000000" w:rsidRDefault="00000000" w:rsidRPr="00000000" w14:paraId="00000004">
      <w:pPr>
        <w:pageBreakBefore w:val="0"/>
        <w:tabs>
          <w:tab w:val="left" w:leader="none" w:pos="720"/>
        </w:tabs>
        <w:jc w:val="both"/>
        <w:rPr>
          <w:sz w:val="22"/>
          <w:szCs w:val="22"/>
        </w:rPr>
      </w:pPr>
      <w:r w:rsidDel="00000000" w:rsidR="00000000" w:rsidRPr="00000000">
        <w:rPr>
          <w:sz w:val="22"/>
          <w:szCs w:val="22"/>
          <w:rtl w:val="0"/>
        </w:rPr>
        <w:t xml:space="preserve">Faculty of Computer and Information Science</w:t>
      </w:r>
    </w:p>
    <w:p w:rsidR="00000000" w:rsidDel="00000000" w:rsidP="00000000" w:rsidRDefault="00000000" w:rsidRPr="00000000" w14:paraId="00000005">
      <w:pPr>
        <w:pageBreakBefore w:val="0"/>
        <w:tabs>
          <w:tab w:val="left" w:leader="none" w:pos="720"/>
        </w:tabs>
        <w:jc w:val="both"/>
        <w:rPr>
          <w:sz w:val="22"/>
          <w:szCs w:val="22"/>
        </w:rPr>
      </w:pPr>
      <w:r w:rsidDel="00000000" w:rsidR="00000000" w:rsidRPr="00000000">
        <w:rPr>
          <w:sz w:val="22"/>
          <w:szCs w:val="22"/>
          <w:rtl w:val="0"/>
        </w:rPr>
        <w:t xml:space="preserve">University of Ljubljana</w:t>
      </w:r>
    </w:p>
    <w:p w:rsidR="00000000" w:rsidDel="00000000" w:rsidP="00000000" w:rsidRDefault="00000000" w:rsidRPr="00000000" w14:paraId="00000006">
      <w:pPr>
        <w:pageBreakBefore w:val="0"/>
        <w:tabs>
          <w:tab w:val="left" w:leader="none" w:pos="720"/>
        </w:tabs>
        <w:jc w:val="both"/>
        <w:rPr>
          <w:sz w:val="22"/>
          <w:szCs w:val="22"/>
        </w:rPr>
      </w:pPr>
      <w:r w:rsidDel="00000000" w:rsidR="00000000" w:rsidRPr="00000000">
        <w:rPr>
          <w:sz w:val="22"/>
          <w:szCs w:val="22"/>
          <w:rtl w:val="0"/>
        </w:rPr>
        <w:t xml:space="preserve">Večna pot 113</w:t>
      </w:r>
    </w:p>
    <w:p w:rsidR="00000000" w:rsidDel="00000000" w:rsidP="00000000" w:rsidRDefault="00000000" w:rsidRPr="00000000" w14:paraId="00000007">
      <w:pPr>
        <w:pageBreakBefore w:val="0"/>
        <w:tabs>
          <w:tab w:val="left" w:leader="none" w:pos="720"/>
        </w:tabs>
        <w:jc w:val="both"/>
        <w:rPr>
          <w:sz w:val="22"/>
          <w:szCs w:val="22"/>
        </w:rPr>
      </w:pPr>
      <w:r w:rsidDel="00000000" w:rsidR="00000000" w:rsidRPr="00000000">
        <w:rPr>
          <w:sz w:val="22"/>
          <w:szCs w:val="22"/>
          <w:rtl w:val="0"/>
        </w:rPr>
        <w:t xml:space="preserve">SI-1000 Ljubljana</w:t>
      </w:r>
    </w:p>
    <w:p w:rsidR="00000000" w:rsidDel="00000000" w:rsidP="00000000" w:rsidRDefault="00000000" w:rsidRPr="00000000" w14:paraId="00000008">
      <w:pPr>
        <w:pageBreakBefore w:val="0"/>
        <w:tabs>
          <w:tab w:val="left" w:leader="none" w:pos="720"/>
        </w:tabs>
        <w:jc w:val="both"/>
        <w:rPr>
          <w:sz w:val="22"/>
          <w:szCs w:val="22"/>
        </w:rPr>
      </w:pPr>
      <w:r w:rsidDel="00000000" w:rsidR="00000000" w:rsidRPr="00000000">
        <w:rPr>
          <w:sz w:val="22"/>
          <w:szCs w:val="22"/>
          <w:rtl w:val="0"/>
        </w:rPr>
        <w:t xml:space="preserve">Slovenia, EU</w:t>
      </w:r>
    </w:p>
    <w:p w:rsidR="00000000" w:rsidDel="00000000" w:rsidP="00000000" w:rsidRDefault="00000000" w:rsidRPr="00000000" w14:paraId="00000009">
      <w:pPr>
        <w:pageBreakBefore w:val="0"/>
        <w:tabs>
          <w:tab w:val="left" w:leader="none" w:pos="720"/>
        </w:tabs>
        <w:jc w:val="both"/>
        <w:rPr>
          <w:sz w:val="32"/>
          <w:szCs w:val="32"/>
        </w:rPr>
      </w:pPr>
      <w:r w:rsidDel="00000000" w:rsidR="00000000" w:rsidRPr="00000000">
        <w:rPr>
          <w:sz w:val="22"/>
          <w:szCs w:val="22"/>
          <w:rtl w:val="0"/>
        </w:rPr>
        <w:t xml:space="preserve">E-mail: </w:t>
      </w:r>
      <w:hyperlink r:id="rId6">
        <w:r w:rsidDel="00000000" w:rsidR="00000000" w:rsidRPr="00000000">
          <w:rPr>
            <w:color w:val="0563c1"/>
            <w:sz w:val="22"/>
            <w:szCs w:val="22"/>
            <w:u w:val="single"/>
            <w:rtl w:val="0"/>
          </w:rPr>
          <w:t xml:space="preserve">matej.vitek@fri.uni-lj.si</w:t>
        </w:r>
      </w:hyperlink>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A">
      <w:pPr>
        <w:pStyle w:val="Heading1"/>
        <w:pageBreakBefore w:val="0"/>
        <w:tabs>
          <w:tab w:val="left" w:leader="none" w:pos="720"/>
        </w:tabs>
        <w:jc w:val="both"/>
        <w:rPr>
          <w:sz w:val="22"/>
          <w:szCs w:val="22"/>
        </w:rPr>
      </w:pPr>
      <w:r w:rsidDel="00000000" w:rsidR="00000000" w:rsidRPr="00000000">
        <w:rPr>
          <w:sz w:val="22"/>
          <w:szCs w:val="22"/>
          <w:rtl w:val="0"/>
        </w:rPr>
        <w:t xml:space="preserve">Hereinafter called the </w:t>
      </w:r>
      <w:r w:rsidDel="00000000" w:rsidR="00000000" w:rsidRPr="00000000">
        <w:rPr>
          <w:b w:val="1"/>
          <w:sz w:val="22"/>
          <w:szCs w:val="22"/>
          <w:rtl w:val="0"/>
        </w:rPr>
        <w:t xml:space="preserve">PROVIDER</w:t>
      </w:r>
      <w:r w:rsidDel="00000000" w:rsidR="00000000" w:rsidRPr="00000000">
        <w:rPr>
          <w:rtl w:val="0"/>
        </w:rPr>
      </w:r>
    </w:p>
    <w:p w:rsidR="00000000" w:rsidDel="00000000" w:rsidP="00000000" w:rsidRDefault="00000000" w:rsidRPr="00000000" w14:paraId="0000000B">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0C">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0D">
      <w:pPr>
        <w:pageBreakBefore w:val="0"/>
        <w:tabs>
          <w:tab w:val="left" w:leader="none" w:pos="720"/>
        </w:tabs>
        <w:spacing w:line="360" w:lineRule="auto"/>
        <w:jc w:val="both"/>
        <w:rPr>
          <w:b w:val="1"/>
          <w:sz w:val="22"/>
          <w:szCs w:val="22"/>
        </w:rPr>
      </w:pPr>
      <w:r w:rsidDel="00000000" w:rsidR="00000000" w:rsidRPr="00000000">
        <w:rPr>
          <w:b w:val="1"/>
          <w:sz w:val="22"/>
          <w:szCs w:val="22"/>
          <w:rtl w:val="0"/>
        </w:rPr>
        <w:t xml:space="preserve">From (please, use capital letters only):</w:t>
      </w:r>
    </w:p>
    <w:tbl>
      <w:tblPr>
        <w:tblStyle w:val="Table1"/>
        <w:tblW w:w="8296.0" w:type="dxa"/>
        <w:jc w:val="left"/>
        <w:tblInd w:w="-2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01"/>
        <w:gridCol w:w="6595"/>
        <w:tblGridChange w:id="0">
          <w:tblGrid>
            <w:gridCol w:w="1701"/>
            <w:gridCol w:w="6595"/>
          </w:tblGrid>
        </w:tblGridChange>
      </w:tblGrid>
      <w:tr>
        <w:trPr>
          <w:cantSplit w:val="0"/>
          <w:tblHeader w:val="0"/>
        </w:trPr>
        <w:tc>
          <w:tcPr>
            <w:vAlign w:val="bottom"/>
          </w:tcPr>
          <w:p w:rsidR="00000000" w:rsidDel="00000000" w:rsidP="00000000" w:rsidRDefault="00000000" w:rsidRPr="00000000" w14:paraId="0000000E">
            <w:pPr>
              <w:pageBreakBefore w:val="0"/>
              <w:tabs>
                <w:tab w:val="left" w:leader="none" w:pos="720"/>
              </w:tabs>
              <w:rPr>
                <w:sz w:val="22"/>
                <w:szCs w:val="22"/>
              </w:rPr>
            </w:pPr>
            <w:r w:rsidDel="00000000" w:rsidR="00000000" w:rsidRPr="00000000">
              <w:rPr>
                <w:sz w:val="22"/>
                <w:szCs w:val="22"/>
                <w:rtl w:val="0"/>
              </w:rPr>
              <w:t xml:space="preserve">Name:</w:t>
            </w:r>
          </w:p>
        </w:tc>
        <w:tc>
          <w:tcPr>
            <w:tcBorders>
              <w:bottom w:color="000000" w:space="0" w:sz="4" w:val="single"/>
            </w:tcBorders>
            <w:vAlign w:val="bottom"/>
          </w:tcPr>
          <w:p w:rsidR="00000000" w:rsidDel="00000000" w:rsidP="00000000" w:rsidRDefault="00000000" w:rsidRPr="00000000" w14:paraId="0000000F">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0">
            <w:pPr>
              <w:pageBreakBefore w:val="0"/>
              <w:tabs>
                <w:tab w:val="left" w:leader="none" w:pos="720"/>
              </w:tabs>
              <w:rPr>
                <w:sz w:val="22"/>
                <w:szCs w:val="22"/>
              </w:rPr>
            </w:pPr>
            <w:r w:rsidDel="00000000" w:rsidR="00000000" w:rsidRPr="00000000">
              <w:rPr>
                <w:sz w:val="22"/>
                <w:szCs w:val="22"/>
                <w:rtl w:val="0"/>
              </w:rPr>
              <w:t xml:space="preserve">Organisation:</w:t>
            </w:r>
          </w:p>
        </w:tc>
        <w:tc>
          <w:tcPr>
            <w:tcBorders>
              <w:top w:color="000000" w:space="0" w:sz="4" w:val="single"/>
              <w:bottom w:color="000000" w:space="0" w:sz="4" w:val="single"/>
            </w:tcBorders>
            <w:vAlign w:val="bottom"/>
          </w:tcPr>
          <w:p w:rsidR="00000000" w:rsidDel="00000000" w:rsidP="00000000" w:rsidRDefault="00000000" w:rsidRPr="00000000" w14:paraId="00000011">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2">
            <w:pPr>
              <w:pageBreakBefore w:val="0"/>
              <w:tabs>
                <w:tab w:val="left" w:leader="none" w:pos="720"/>
              </w:tabs>
              <w:rPr>
                <w:sz w:val="22"/>
                <w:szCs w:val="22"/>
              </w:rPr>
            </w:pPr>
            <w:r w:rsidDel="00000000" w:rsidR="00000000" w:rsidRPr="00000000">
              <w:rPr>
                <w:sz w:val="22"/>
                <w:szCs w:val="22"/>
                <w:rtl w:val="0"/>
              </w:rPr>
              <w:t xml:space="preserve">Address:</w:t>
            </w:r>
          </w:p>
        </w:tc>
        <w:tc>
          <w:tcPr>
            <w:tcBorders>
              <w:top w:color="000000" w:space="0" w:sz="4" w:val="single"/>
              <w:bottom w:color="000000" w:space="0" w:sz="4" w:val="single"/>
            </w:tcBorders>
            <w:vAlign w:val="bottom"/>
          </w:tcPr>
          <w:p w:rsidR="00000000" w:rsidDel="00000000" w:rsidP="00000000" w:rsidRDefault="00000000" w:rsidRPr="00000000" w14:paraId="00000013">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4">
            <w:pPr>
              <w:pageBreakBefore w:val="0"/>
              <w:tabs>
                <w:tab w:val="left" w:leader="none" w:pos="720"/>
              </w:tabs>
              <w:rPr>
                <w:sz w:val="22"/>
                <w:szCs w:val="22"/>
              </w:rPr>
            </w:pPr>
            <w:r w:rsidDel="00000000" w:rsidR="00000000" w:rsidRPr="00000000">
              <w:rPr>
                <w:sz w:val="22"/>
                <w:szCs w:val="22"/>
                <w:rtl w:val="0"/>
              </w:rPr>
              <w:t xml:space="preserve"> </w:t>
            </w:r>
          </w:p>
        </w:tc>
        <w:tc>
          <w:tcPr>
            <w:tcBorders>
              <w:top w:color="000000" w:space="0" w:sz="4" w:val="single"/>
              <w:bottom w:color="000000" w:space="0" w:sz="4" w:val="single"/>
            </w:tcBorders>
            <w:vAlign w:val="bottom"/>
          </w:tcPr>
          <w:p w:rsidR="00000000" w:rsidDel="00000000" w:rsidP="00000000" w:rsidRDefault="00000000" w:rsidRPr="00000000" w14:paraId="00000015">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6">
            <w:pPr>
              <w:pageBreakBefore w:val="0"/>
              <w:tabs>
                <w:tab w:val="left" w:leader="none" w:pos="720"/>
              </w:tabs>
              <w:rPr>
                <w:sz w:val="22"/>
                <w:szCs w:val="22"/>
              </w:rPr>
            </w:pPr>
            <w:r w:rsidDel="00000000" w:rsidR="00000000" w:rsidRPr="00000000">
              <w:rPr>
                <w:sz w:val="22"/>
                <w:szCs w:val="22"/>
                <w:rtl w:val="0"/>
              </w:rPr>
              <w:t xml:space="preserve">Country:</w:t>
            </w:r>
          </w:p>
        </w:tc>
        <w:tc>
          <w:tcPr>
            <w:tcBorders>
              <w:top w:color="000000" w:space="0" w:sz="4" w:val="single"/>
              <w:bottom w:color="000000" w:space="0" w:sz="4" w:val="single"/>
            </w:tcBorders>
            <w:vAlign w:val="bottom"/>
          </w:tcPr>
          <w:p w:rsidR="00000000" w:rsidDel="00000000" w:rsidP="00000000" w:rsidRDefault="00000000" w:rsidRPr="00000000" w14:paraId="00000017">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8">
            <w:pPr>
              <w:pageBreakBefore w:val="0"/>
              <w:tabs>
                <w:tab w:val="left" w:leader="none" w:pos="720"/>
              </w:tabs>
              <w:rPr>
                <w:sz w:val="22"/>
                <w:szCs w:val="22"/>
              </w:rPr>
            </w:pPr>
            <w:r w:rsidDel="00000000" w:rsidR="00000000" w:rsidRPr="00000000">
              <w:rPr>
                <w:sz w:val="22"/>
                <w:szCs w:val="22"/>
                <w:rtl w:val="0"/>
              </w:rPr>
              <w:t xml:space="preserve">E-mail:</w:t>
            </w:r>
          </w:p>
        </w:tc>
        <w:tc>
          <w:tcPr>
            <w:tcBorders>
              <w:top w:color="000000" w:space="0" w:sz="4" w:val="single"/>
              <w:bottom w:color="000000" w:space="0" w:sz="4" w:val="single"/>
            </w:tcBorders>
            <w:vAlign w:val="bottom"/>
          </w:tcPr>
          <w:p w:rsidR="00000000" w:rsidDel="00000000" w:rsidP="00000000" w:rsidRDefault="00000000" w:rsidRPr="00000000" w14:paraId="00000019">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A">
            <w:pPr>
              <w:pageBreakBefore w:val="0"/>
              <w:tabs>
                <w:tab w:val="left" w:leader="none" w:pos="720"/>
              </w:tabs>
              <w:rPr>
                <w:sz w:val="22"/>
                <w:szCs w:val="22"/>
              </w:rPr>
            </w:pPr>
            <w:r w:rsidDel="00000000" w:rsidR="00000000" w:rsidRPr="00000000">
              <w:rPr>
                <w:rtl w:val="0"/>
              </w:rPr>
            </w:r>
          </w:p>
          <w:p w:rsidR="00000000" w:rsidDel="00000000" w:rsidP="00000000" w:rsidRDefault="00000000" w:rsidRPr="00000000" w14:paraId="0000001B">
            <w:pPr>
              <w:pageBreakBefore w:val="0"/>
              <w:tabs>
                <w:tab w:val="left" w:leader="none" w:pos="720"/>
              </w:tabs>
              <w:rPr>
                <w:sz w:val="22"/>
                <w:szCs w:val="22"/>
              </w:rPr>
            </w:pPr>
            <w:r w:rsidDel="00000000" w:rsidR="00000000" w:rsidRPr="00000000">
              <w:rPr>
                <w:sz w:val="22"/>
                <w:szCs w:val="22"/>
                <w:rtl w:val="0"/>
              </w:rPr>
              <w:t xml:space="preserve">Signatory for the Data Processing Agreement:</w:t>
            </w:r>
          </w:p>
        </w:tc>
        <w:tc>
          <w:tcPr>
            <w:tcBorders>
              <w:top w:color="000000" w:space="0" w:sz="4" w:val="single"/>
              <w:bottom w:color="000000" w:space="0" w:sz="4" w:val="single"/>
            </w:tcBorders>
            <w:vAlign w:val="bottom"/>
          </w:tcPr>
          <w:p w:rsidR="00000000" w:rsidDel="00000000" w:rsidP="00000000" w:rsidRDefault="00000000" w:rsidRPr="00000000" w14:paraId="0000001C">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1D">
      <w:pPr>
        <w:pageBreakBefore w:val="0"/>
        <w:tabs>
          <w:tab w:val="left" w:leader="none" w:pos="720"/>
        </w:tabs>
        <w:spacing w:line="360" w:lineRule="auto"/>
        <w:jc w:val="both"/>
        <w:rPr>
          <w:sz w:val="22"/>
          <w:szCs w:val="22"/>
        </w:rPr>
      </w:pPr>
      <w:r w:rsidDel="00000000" w:rsidR="00000000" w:rsidRPr="00000000">
        <w:rPr>
          <w:rtl w:val="0"/>
        </w:rPr>
      </w:r>
    </w:p>
    <w:p w:rsidR="00000000" w:rsidDel="00000000" w:rsidP="00000000" w:rsidRDefault="00000000" w:rsidRPr="00000000" w14:paraId="0000001E">
      <w:pPr>
        <w:pStyle w:val="Heading1"/>
        <w:pageBreakBefore w:val="0"/>
        <w:tabs>
          <w:tab w:val="left" w:leader="none" w:pos="720"/>
        </w:tabs>
        <w:jc w:val="both"/>
        <w:rPr>
          <w:sz w:val="22"/>
          <w:szCs w:val="22"/>
        </w:rPr>
      </w:pPr>
      <w:r w:rsidDel="00000000" w:rsidR="00000000" w:rsidRPr="00000000">
        <w:rPr>
          <w:sz w:val="22"/>
          <w:szCs w:val="22"/>
          <w:rtl w:val="0"/>
        </w:rPr>
        <w:t xml:space="preserve">Hereinafter called the </w:t>
      </w:r>
      <w:r w:rsidDel="00000000" w:rsidR="00000000" w:rsidRPr="00000000">
        <w:rPr>
          <w:b w:val="1"/>
          <w:sz w:val="22"/>
          <w:szCs w:val="22"/>
          <w:rtl w:val="0"/>
        </w:rPr>
        <w:t xml:space="preserve">LICENSEE</w:t>
      </w:r>
      <w:r w:rsidDel="00000000" w:rsidR="00000000" w:rsidRPr="00000000">
        <w:rPr>
          <w:rtl w:val="0"/>
        </w:rPr>
      </w:r>
    </w:p>
    <w:p w:rsidR="00000000" w:rsidDel="00000000" w:rsidP="00000000" w:rsidRDefault="00000000" w:rsidRPr="00000000" w14:paraId="0000001F">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20">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21">
      <w:pPr>
        <w:pStyle w:val="Heading2"/>
        <w:pageBreakBefore w:val="0"/>
        <w:tabs>
          <w:tab w:val="left" w:leader="none" w:pos="720"/>
        </w:tabs>
        <w:jc w:val="both"/>
        <w:rPr>
          <w:sz w:val="32"/>
          <w:szCs w:val="32"/>
        </w:rPr>
      </w:pPr>
      <w:r w:rsidDel="00000000" w:rsidR="00000000" w:rsidRPr="00000000">
        <w:rPr>
          <w:sz w:val="22"/>
          <w:szCs w:val="22"/>
          <w:u w:val="single"/>
          <w:rtl w:val="0"/>
        </w:rPr>
        <w:t xml:space="preserve">Subject: License to use the SBVPI DATASET</w:t>
      </w:r>
      <w:r w:rsidDel="00000000" w:rsidR="00000000" w:rsidRPr="00000000">
        <w:rPr>
          <w:rtl w:val="0"/>
        </w:rPr>
      </w:r>
    </w:p>
    <w:p w:rsidR="00000000" w:rsidDel="00000000" w:rsidP="00000000" w:rsidRDefault="00000000" w:rsidRPr="00000000" w14:paraId="00000022">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23">
      <w:pPr>
        <w:pageBreakBefore w:val="0"/>
        <w:tabs>
          <w:tab w:val="left" w:leader="none" w:pos="720"/>
        </w:tabs>
        <w:jc w:val="both"/>
        <w:rPr>
          <w:sz w:val="22"/>
          <w:szCs w:val="22"/>
        </w:rPr>
      </w:pPr>
      <w:r w:rsidDel="00000000" w:rsidR="00000000" w:rsidRPr="00000000">
        <w:rPr>
          <w:sz w:val="22"/>
          <w:szCs w:val="22"/>
          <w:rtl w:val="0"/>
        </w:rPr>
        <w:t xml:space="preserve">Please, describe the purpose of your research for which you will use the SBVPI dataset and the proposed duration of the data processing:</w:t>
      </w:r>
    </w:p>
    <w:p w:rsidR="00000000" w:rsidDel="00000000" w:rsidP="00000000" w:rsidRDefault="00000000" w:rsidRPr="00000000" w14:paraId="00000024">
      <w:pPr>
        <w:pageBreakBefore w:val="0"/>
        <w:tabs>
          <w:tab w:val="left" w:leader="none" w:pos="720"/>
        </w:tabs>
        <w:spacing w:line="360" w:lineRule="auto"/>
        <w:jc w:val="both"/>
        <w:rPr>
          <w:sz w:val="22"/>
          <w:szCs w:val="22"/>
        </w:rPr>
      </w:pPr>
      <w:r w:rsidDel="00000000" w:rsidR="00000000" w:rsidRPr="00000000">
        <w:rPr>
          <w:rtl w:val="0"/>
        </w:rPr>
      </w:r>
    </w:p>
    <w:tbl>
      <w:tblPr>
        <w:tblStyle w:val="Table2"/>
        <w:tblW w:w="8296.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25">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6">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7">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8">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9">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B">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C">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E">
            <w:pPr>
              <w:pageBreakBefore w:val="0"/>
              <w:tabs>
                <w:tab w:val="left" w:leader="none" w:pos="720"/>
              </w:tabs>
              <w:spacing w:line="360" w:lineRule="auto"/>
              <w:jc w:val="both"/>
              <w:rPr>
                <w:sz w:val="22"/>
                <w:szCs w:val="22"/>
              </w:rPr>
            </w:pPr>
            <w:r w:rsidDel="00000000" w:rsidR="00000000" w:rsidRPr="00000000">
              <w:rPr>
                <w:rtl w:val="0"/>
              </w:rPr>
            </w:r>
          </w:p>
        </w:tc>
      </w:tr>
    </w:tbl>
    <w:p w:rsidR="00000000" w:rsidDel="00000000" w:rsidP="00000000" w:rsidRDefault="00000000" w:rsidRPr="00000000" w14:paraId="0000002F">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30">
      <w:pPr>
        <w:pageBreakBefore w:val="0"/>
        <w:tabs>
          <w:tab w:val="left" w:leader="none" w:pos="720"/>
        </w:tabs>
        <w:jc w:val="both"/>
        <w:rPr>
          <w:sz w:val="22"/>
          <w:szCs w:val="22"/>
        </w:rPr>
      </w:pPr>
      <w:r w:rsidDel="00000000" w:rsidR="00000000" w:rsidRPr="00000000">
        <w:rPr>
          <w:sz w:val="22"/>
          <w:szCs w:val="22"/>
          <w:rtl w:val="0"/>
        </w:rPr>
        <w:t xml:space="preserve">Upon positive evaluation of the Data Access Request, the PROVIDER agrees to provide the link to the SBVPI DATASET to the LICENSEE and the LICENSEE agrees:</w:t>
      </w:r>
    </w:p>
    <w:p w:rsidR="00000000" w:rsidDel="00000000" w:rsidP="00000000" w:rsidRDefault="00000000" w:rsidRPr="00000000" w14:paraId="00000031">
      <w:pPr>
        <w:pageBreakBefore w:val="0"/>
        <w:numPr>
          <w:ilvl w:val="0"/>
          <w:numId w:val="1"/>
        </w:numPr>
        <w:ind w:left="720" w:hanging="360"/>
        <w:jc w:val="both"/>
        <w:rPr>
          <w:sz w:val="22"/>
          <w:szCs w:val="22"/>
        </w:rPr>
      </w:pPr>
      <w:r w:rsidDel="00000000" w:rsidR="00000000" w:rsidRPr="00000000">
        <w:rPr>
          <w:sz w:val="22"/>
          <w:szCs w:val="22"/>
          <w:rtl w:val="0"/>
        </w:rPr>
        <w:t xml:space="preserve">That the nominated signatory will, beforehand, sign a Data Access and Processing Agreement, which will specifying the scope, nature, purpose, and duration of the processing, define safeguards to be put in place by the LICENSEE for the protection of the SBVPI DATASET, and set limitations to the data processing. </w:t>
      </w:r>
    </w:p>
    <w:p w:rsidR="00000000" w:rsidDel="00000000" w:rsidP="00000000" w:rsidRDefault="00000000" w:rsidRPr="00000000" w14:paraId="00000032">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not redistribute the provided link.</w:t>
      </w:r>
    </w:p>
    <w:p w:rsidR="00000000" w:rsidDel="00000000" w:rsidP="00000000" w:rsidRDefault="00000000" w:rsidRPr="00000000" w14:paraId="00000033">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not redistribute the dataset or its parts.</w:t>
      </w:r>
    </w:p>
    <w:p w:rsidR="00000000" w:rsidDel="00000000" w:rsidP="00000000" w:rsidRDefault="00000000" w:rsidRPr="00000000" w14:paraId="00000034">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use the dataset for non-commercial research and only for the purposes specified in this request; otherwise the LICENSEE will obtain authorisation from the PROVIDER beforehand.</w:t>
      </w:r>
    </w:p>
    <w:p w:rsidR="00000000" w:rsidDel="00000000" w:rsidP="00000000" w:rsidRDefault="00000000" w:rsidRPr="00000000" w14:paraId="00000035">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include the following acknowledgement in all eventual publications based on the results gained using the dataset: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images from the SBVPI DATASET used in this work have been provided by the University of Ljubljana, Slovenia [1,2,3].«</w:t>
      </w:r>
      <w:r w:rsidDel="00000000" w:rsidR="00000000" w:rsidRPr="00000000">
        <w:rPr>
          <w:rtl w:val="0"/>
        </w:rPr>
      </w:r>
    </w:p>
    <w:p w:rsidR="00000000" w:rsidDel="00000000" w:rsidP="00000000" w:rsidRDefault="00000000" w:rsidRPr="00000000" w14:paraId="00000037">
      <w:pPr>
        <w:pageBreakBefore w:val="0"/>
        <w:ind w:left="720" w:firstLine="0"/>
        <w:jc w:val="both"/>
        <w:rPr>
          <w:sz w:val="22"/>
          <w:szCs w:val="22"/>
        </w:rPr>
      </w:pPr>
      <w:r w:rsidDel="00000000" w:rsidR="00000000" w:rsidRPr="00000000">
        <w:rPr>
          <w:sz w:val="22"/>
          <w:szCs w:val="22"/>
          <w:rtl w:val="0"/>
        </w:rPr>
        <w:t xml:space="preserve">and a proper reference will be added in the reference section: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Matej Vitek, Peter Rot, Vitomir Štruc and Peter Peer: </w:t>
      </w:r>
      <w:r w:rsidDel="00000000" w:rsidR="00000000" w:rsidRPr="00000000">
        <w:rPr>
          <w:rFonts w:ascii="Times New Roman" w:cs="Times New Roman" w:eastAsia="Times New Roman" w:hAnsi="Times New Roman"/>
          <w:b w:val="0"/>
          <w:i w:val="1"/>
          <w:smallCaps w:val="0"/>
          <w:strike w:val="0"/>
          <w:color w:val="222222"/>
          <w:sz w:val="22"/>
          <w:szCs w:val="22"/>
          <w:u w:val="none"/>
          <w:shd w:fill="auto" w:val="clear"/>
          <w:vertAlign w:val="baseline"/>
          <w:rtl w:val="0"/>
        </w:rPr>
        <w:t xml:space="preserve">»A Comprehensive Investigation into Sclera Biometrics: A Novel Dataset and Performance Study« Neural Computing and Applications, Springer 2020.</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Peter Rot, Matej Vitek, Klemen Grm, Žiga Emeršič, Peter Peer and Vitomir Štruc: </w:t>
      </w:r>
      <w:r w:rsidDel="00000000" w:rsidR="00000000" w:rsidRPr="00000000">
        <w:rPr>
          <w:rFonts w:ascii="Times New Roman" w:cs="Times New Roman" w:eastAsia="Times New Roman" w:hAnsi="Times New Roman"/>
          <w:b w:val="0"/>
          <w:i w:val="1"/>
          <w:smallCaps w:val="0"/>
          <w:strike w:val="0"/>
          <w:color w:val="222222"/>
          <w:sz w:val="22"/>
          <w:szCs w:val="22"/>
          <w:u w:val="none"/>
          <w:shd w:fill="auto" w:val="clear"/>
          <w:vertAlign w:val="baseline"/>
          <w:rtl w:val="0"/>
        </w:rPr>
        <w:t xml:space="preserve">»Deep Sclera Segmentation and Recognition« In: Christoph Busch, Sébastien Marcel, Andreas Uhl, Raymond Veldhuis (Eds.), Handbook of Vascular Biometrics, Springer 2020.</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Peter Rot, Žiga Emeršič, Vitomir Štruc, and Peter Peer: </w:t>
      </w:r>
      <w:r w:rsidDel="00000000" w:rsidR="00000000" w:rsidRPr="00000000">
        <w:rPr>
          <w:rFonts w:ascii="Times New Roman" w:cs="Times New Roman" w:eastAsia="Times New Roman" w:hAnsi="Times New Roman"/>
          <w:b w:val="0"/>
          <w:i w:val="1"/>
          <w:smallCaps w:val="0"/>
          <w:strike w:val="0"/>
          <w:color w:val="222222"/>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Deep Multi-class Eye Segmentation for Ocular Biometrics«</w:t>
      </w:r>
      <w:r w:rsidDel="00000000" w:rsidR="00000000" w:rsidRPr="00000000">
        <w:rPr>
          <w:rFonts w:ascii="Times New Roman" w:cs="Times New Roman" w:eastAsia="Times New Roman" w:hAnsi="Times New Roman"/>
          <w:b w:val="0"/>
          <w:i w:val="1"/>
          <w:smallCaps w:val="0"/>
          <w:strike w:val="0"/>
          <w:color w:val="222222"/>
          <w:sz w:val="22"/>
          <w:szCs w:val="22"/>
          <w:u w:val="none"/>
          <w:shd w:fill="auto" w:val="clear"/>
          <w:vertAlign w:val="baseline"/>
          <w:rtl w:val="0"/>
        </w:rPr>
        <w:t xml:space="preserve"> IEEE International Work Conference on Bioinspired Intelligence (IWOBI), 2018.</w:t>
      </w: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supply the PROVIDER with the copies of such publications.</w:t>
      </w:r>
    </w:p>
    <w:p w:rsidR="00000000" w:rsidDel="00000000" w:rsidP="00000000" w:rsidRDefault="00000000" w:rsidRPr="00000000" w14:paraId="0000003C">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3D">
      <w:pPr>
        <w:pageBreakBefore w:val="0"/>
        <w:jc w:val="both"/>
        <w:rPr>
          <w:sz w:val="22"/>
          <w:szCs w:val="22"/>
        </w:rPr>
      </w:pPr>
      <w:r w:rsidDel="00000000" w:rsidR="00000000" w:rsidRPr="00000000">
        <w:rPr>
          <w:rtl w:val="0"/>
        </w:rPr>
      </w:r>
    </w:p>
    <w:p w:rsidR="00000000" w:rsidDel="00000000" w:rsidP="00000000" w:rsidRDefault="00000000" w:rsidRPr="00000000" w14:paraId="0000003E">
      <w:pPr>
        <w:pageBreakBefore w:val="0"/>
        <w:jc w:val="both"/>
        <w:rPr>
          <w:sz w:val="22"/>
          <w:szCs w:val="22"/>
        </w:rPr>
      </w:pPr>
      <w:r w:rsidDel="00000000" w:rsidR="00000000" w:rsidRPr="00000000">
        <w:rPr>
          <w:sz w:val="22"/>
          <w:szCs w:val="22"/>
          <w:rtl w:val="0"/>
        </w:rPr>
        <w:t xml:space="preserve">Date:                                        Signature of the LICENSEE:</w:t>
      </w:r>
    </w:p>
    <w:p w:rsidR="00000000" w:rsidDel="00000000" w:rsidP="00000000" w:rsidRDefault="00000000" w:rsidRPr="00000000" w14:paraId="0000003F">
      <w:pPr>
        <w:pageBreakBefore w:val="0"/>
        <w:jc w:val="both"/>
        <w:rPr>
          <w:sz w:val="22"/>
          <w:szCs w:val="22"/>
        </w:rPr>
      </w:pPr>
      <w:r w:rsidDel="00000000" w:rsidR="00000000" w:rsidRPr="00000000">
        <w:rPr>
          <w:rtl w:val="0"/>
        </w:rPr>
      </w:r>
    </w:p>
    <w:p w:rsidR="00000000" w:rsidDel="00000000" w:rsidP="00000000" w:rsidRDefault="00000000" w:rsidRPr="00000000" w14:paraId="00000040">
      <w:pPr>
        <w:pageBreakBefore w:val="0"/>
        <w:jc w:val="both"/>
        <w:rPr>
          <w:sz w:val="32"/>
          <w:szCs w:val="32"/>
        </w:rPr>
      </w:pPr>
      <w:r w:rsidDel="00000000" w:rsidR="00000000" w:rsidRPr="00000000">
        <w:rPr>
          <w:sz w:val="22"/>
          <w:szCs w:val="22"/>
          <w:rtl w:val="0"/>
        </w:rPr>
        <w:t xml:space="preserve">_____________________       __________________________________________________</w:t>
      </w: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l-S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tabs>
        <w:tab w:val="left" w:leader="none" w:pos="720"/>
      </w:tabs>
    </w:pPr>
    <w:rPr>
      <w:i w:val="1"/>
    </w:rPr>
  </w:style>
  <w:style w:type="paragraph" w:styleId="Heading2">
    <w:name w:val="heading 2"/>
    <w:basedOn w:val="Normal"/>
    <w:next w:val="Normal"/>
    <w:pPr>
      <w:keepNext w:val="1"/>
      <w:pageBreakBefore w:val="0"/>
      <w:tabs>
        <w:tab w:val="left" w:leader="none" w:pos="720"/>
      </w:tabs>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ej.vitek@fri.uni-lj.si?subject=SBV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