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z4you9rry8d" w:id="0"/>
      <w:bookmarkEnd w:id="0"/>
      <w:r w:rsidDel="00000000" w:rsidR="00000000" w:rsidRPr="00000000">
        <w:rPr>
          <w:rtl w:val="0"/>
        </w:rPr>
        <w:t xml:space="preserve">Boundaries, Break-Glass, MFA Policies &amp; Network Foundations</w:t>
      </w:r>
    </w:p>
    <w:p w:rsidR="00000000" w:rsidDel="00000000" w:rsidP="00000000" w:rsidRDefault="00000000" w:rsidRPr="00000000" w14:paraId="00000002">
      <w:pPr>
        <w:rPr/>
      </w:pPr>
      <w:r w:rsidDel="00000000" w:rsidR="00000000" w:rsidRPr="00000000">
        <w:rPr>
          <w:rtl w:val="0"/>
        </w:rPr>
        <w:t xml:space="preserve">Generated: 2026-03-27 | 12 pages from 5 book(s)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gcqj628vqeqc" w:id="1"/>
      <w:bookmarkEnd w:id="1"/>
      <w:r w:rsidDel="00000000" w:rsidR="00000000" w:rsidRPr="00000000">
        <w:rPr>
          <w:rtl w:val="0"/>
        </w:rPr>
        <w:t xml:space="preserve">Flip To These Pages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b w:val="1"/>
                <w:bCs w:val="1"/>
                <w:rtl w:val="0"/>
              </w:rPr>
              <w:t xml:space="preserv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Domain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b w:val="1"/>
                <w:bCs w:val="1"/>
                <w:rtl w:val="0"/>
              </w:rPr>
              <w:t xml:space="preserve">(B1)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b w:val="1"/>
                <w:bCs w:val="1"/>
                <w:rtl w:val="0"/>
              </w:rPr>
              <w:t xml:space="preserve">24, 25, 108, 133, 135, 136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Identity &amp; Access Management Foundations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b w:val="1"/>
                <w:bCs w:val="1"/>
                <w:rtl w:val="0"/>
              </w:rPr>
              <w:t xml:space="preserve">(B2)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b w:val="1"/>
                <w:bCs w:val="1"/>
                <w:rtl w:val="0"/>
              </w:rPr>
              <w:t xml:space="preserve">56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Authentication, Federation &amp; Identity Attacks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b w:val="1"/>
                <w:bCs w:val="1"/>
                <w:rtl w:val="0"/>
              </w:rPr>
              <w:t xml:space="preserve">(B3)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b w:val="1"/>
                <w:bCs w:val="1"/>
                <w:rtl w:val="0"/>
              </w:rPr>
              <w:t xml:space="preserve">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Network Security &amp; Segmentation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b w:val="1"/>
                <w:bCs w:val="1"/>
                <w:rtl w:val="0"/>
              </w:rPr>
              <w:t xml:space="preserve">(B4)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bCs w:val="1"/>
                <w:rtl w:val="0"/>
              </w:rPr>
              <w:t xml:space="preserve">26, 45, 126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Cloud Security Governance &amp; Data Protection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b w:val="1"/>
                <w:bCs w:val="1"/>
                <w:rtl w:val="0"/>
              </w:rPr>
              <w:t xml:space="preserve">(B5)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b w:val="1"/>
                <w:bCs w:val="1"/>
                <w:rtl w:val="0"/>
              </w:rPr>
              <w:t xml:space="preserve">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Detection, Response &amp; Security Operations</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Topics covered:</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3"/>
        </w:numPr>
        <w:ind w:left="720" w:hanging="360"/>
      </w:pPr>
      <w:r w:rsidDel="00000000" w:rsidR="00000000" w:rsidRPr="00000000">
        <w:rPr>
          <w:rFonts w:ascii="Roboto Mono" w:cs="Roboto Mono" w:eastAsia="Roboto Mono" w:hAnsi="Roboto Mono"/>
          <w:color w:val="188038"/>
          <w:rtl w:val="0"/>
        </w:rPr>
        <w:t xml:space="preserve">Boundaries</w:t>
      </w:r>
      <w:r w:rsidDel="00000000" w:rsidR="00000000" w:rsidRPr="00000000">
        <w:rPr>
          <w:rtl w:val="0"/>
        </w:rPr>
        <w:t xml:space="preserve"> &gt; (B1) 24 25</w:t>
      </w:r>
    </w:p>
    <w:p w:rsidR="00000000" w:rsidDel="00000000" w:rsidP="00000000" w:rsidRDefault="00000000" w:rsidRPr="00000000" w14:paraId="0000001C">
      <w:pPr>
        <w:numPr>
          <w:ilvl w:val="0"/>
          <w:numId w:val="3"/>
        </w:numPr>
        <w:ind w:left="720" w:hanging="360"/>
      </w:pPr>
      <w:r w:rsidDel="00000000" w:rsidR="00000000" w:rsidRPr="00000000">
        <w:rPr>
          <w:rFonts w:ascii="Roboto Mono" w:cs="Roboto Mono" w:eastAsia="Roboto Mono" w:hAnsi="Roboto Mono"/>
          <w:color w:val="188038"/>
          <w:rtl w:val="0"/>
        </w:rPr>
        <w:t xml:space="preserve">Break-glass</w:t>
      </w:r>
      <w:r w:rsidDel="00000000" w:rsidR="00000000" w:rsidRPr="00000000">
        <w:rPr>
          <w:rtl w:val="0"/>
        </w:rPr>
        <w:t xml:space="preserve"> &gt; (B1) 133 135 136</w:t>
      </w:r>
    </w:p>
    <w:p w:rsidR="00000000" w:rsidDel="00000000" w:rsidP="00000000" w:rsidRDefault="00000000" w:rsidRPr="00000000" w14:paraId="0000001D">
      <w:pPr>
        <w:numPr>
          <w:ilvl w:val="0"/>
          <w:numId w:val="3"/>
        </w:numPr>
        <w:ind w:left="720" w:hanging="360"/>
      </w:pPr>
      <w:r w:rsidDel="00000000" w:rsidR="00000000" w:rsidRPr="00000000">
        <w:rPr>
          <w:rFonts w:ascii="Roboto Mono" w:cs="Roboto Mono" w:eastAsia="Roboto Mono" w:hAnsi="Roboto Mono"/>
          <w:color w:val="188038"/>
          <w:rtl w:val="0"/>
        </w:rPr>
        <w:t xml:space="preserve">Break-glass Identity Bastion Architecture</w:t>
      </w:r>
      <w:r w:rsidDel="00000000" w:rsidR="00000000" w:rsidRPr="00000000">
        <w:rPr>
          <w:rtl w:val="0"/>
        </w:rPr>
        <w:t xml:space="preserve"> &gt; (B1) 133</w:t>
      </w:r>
    </w:p>
    <w:p w:rsidR="00000000" w:rsidDel="00000000" w:rsidP="00000000" w:rsidRDefault="00000000" w:rsidRPr="00000000" w14:paraId="0000001E">
      <w:pPr>
        <w:numPr>
          <w:ilvl w:val="0"/>
          <w:numId w:val="3"/>
        </w:numPr>
        <w:ind w:left="720" w:hanging="360"/>
      </w:pPr>
      <w:r w:rsidDel="00000000" w:rsidR="00000000" w:rsidRPr="00000000">
        <w:rPr>
          <w:rFonts w:ascii="Roboto Mono" w:cs="Roboto Mono" w:eastAsia="Roboto Mono" w:hAnsi="Roboto Mono"/>
          <w:color w:val="188038"/>
          <w:rtl w:val="0"/>
        </w:rPr>
        <w:t xml:space="preserve">Break-glass, Root, Super Admin Credential Storage</w:t>
      </w:r>
      <w:r w:rsidDel="00000000" w:rsidR="00000000" w:rsidRPr="00000000">
        <w:rPr>
          <w:rtl w:val="0"/>
        </w:rPr>
        <w:t xml:space="preserve"> &gt; (B1) 135</w:t>
      </w:r>
    </w:p>
    <w:p w:rsidR="00000000" w:rsidDel="00000000" w:rsidP="00000000" w:rsidRDefault="00000000" w:rsidRPr="00000000" w14:paraId="0000001F">
      <w:pPr>
        <w:numPr>
          <w:ilvl w:val="0"/>
          <w:numId w:val="3"/>
        </w:numPr>
        <w:ind w:left="720" w:hanging="360"/>
      </w:pPr>
      <w:r w:rsidDel="00000000" w:rsidR="00000000" w:rsidRPr="00000000">
        <w:rPr>
          <w:rFonts w:ascii="Roboto Mono" w:cs="Roboto Mono" w:eastAsia="Roboto Mono" w:hAnsi="Roboto Mono"/>
          <w:color w:val="188038"/>
          <w:rtl w:val="0"/>
        </w:rPr>
        <w:t xml:space="preserve">Break-glass, Root, Super Admin MFA Options</w:t>
      </w:r>
      <w:r w:rsidDel="00000000" w:rsidR="00000000" w:rsidRPr="00000000">
        <w:rPr>
          <w:rtl w:val="0"/>
        </w:rPr>
        <w:t xml:space="preserve"> &gt; (B1) 136</w:t>
      </w:r>
    </w:p>
    <w:p w:rsidR="00000000" w:rsidDel="00000000" w:rsidP="00000000" w:rsidRDefault="00000000" w:rsidRPr="00000000" w14:paraId="00000020">
      <w:pPr>
        <w:numPr>
          <w:ilvl w:val="0"/>
          <w:numId w:val="3"/>
        </w:numPr>
        <w:ind w:left="720" w:hanging="360"/>
      </w:pPr>
      <w:r w:rsidDel="00000000" w:rsidR="00000000" w:rsidRPr="00000000">
        <w:rPr>
          <w:rFonts w:ascii="Roboto Mono" w:cs="Roboto Mono" w:eastAsia="Roboto Mono" w:hAnsi="Roboto Mono"/>
          <w:color w:val="188038"/>
          <w:rtl w:val="0"/>
        </w:rPr>
        <w:t xml:space="preserve">Broad</w:t>
      </w:r>
      <w:r w:rsidDel="00000000" w:rsidR="00000000" w:rsidRPr="00000000">
        <w:rPr>
          <w:rtl w:val="0"/>
        </w:rPr>
        <w:t xml:space="preserve"> &gt; (B2) 56</w:t>
      </w:r>
    </w:p>
    <w:p w:rsidR="00000000" w:rsidDel="00000000" w:rsidP="00000000" w:rsidRDefault="00000000" w:rsidRPr="00000000" w14:paraId="00000021">
      <w:pPr>
        <w:numPr>
          <w:ilvl w:val="0"/>
          <w:numId w:val="3"/>
        </w:numPr>
        <w:ind w:left="720" w:hanging="360"/>
      </w:pPr>
      <w:r w:rsidDel="00000000" w:rsidR="00000000" w:rsidRPr="00000000">
        <w:rPr>
          <w:rFonts w:ascii="Roboto Mono" w:cs="Roboto Mono" w:eastAsia="Roboto Mono" w:hAnsi="Roboto Mono"/>
          <w:color w:val="188038"/>
          <w:rtl w:val="0"/>
        </w:rPr>
        <w:t xml:space="preserve">Broad Policy Enforcing MFA</w:t>
      </w:r>
      <w:r w:rsidDel="00000000" w:rsidR="00000000" w:rsidRPr="00000000">
        <w:rPr>
          <w:rtl w:val="0"/>
        </w:rPr>
        <w:t xml:space="preserve"> &gt; (B2) 56</w:t>
      </w:r>
    </w:p>
    <w:p w:rsidR="00000000" w:rsidDel="00000000" w:rsidP="00000000" w:rsidRDefault="00000000" w:rsidRPr="00000000" w14:paraId="00000022">
      <w:pPr>
        <w:numPr>
          <w:ilvl w:val="0"/>
          <w:numId w:val="3"/>
        </w:numPr>
        <w:ind w:left="720" w:hanging="360"/>
      </w:pPr>
      <w:r w:rsidDel="00000000" w:rsidR="00000000" w:rsidRPr="00000000">
        <w:rPr>
          <w:rFonts w:ascii="Roboto Mono" w:cs="Roboto Mono" w:eastAsia="Roboto Mono" w:hAnsi="Roboto Mono"/>
          <w:color w:val="188038"/>
          <w:rtl w:val="0"/>
        </w:rPr>
        <w:t xml:space="preserve">Broad Vs. Narrow Policies</w:t>
      </w:r>
      <w:r w:rsidDel="00000000" w:rsidR="00000000" w:rsidRPr="00000000">
        <w:rPr>
          <w:rtl w:val="0"/>
        </w:rPr>
        <w:t xml:space="preserve"> &gt; (B2) 56</w:t>
      </w:r>
    </w:p>
    <w:p w:rsidR="00000000" w:rsidDel="00000000" w:rsidP="00000000" w:rsidRDefault="00000000" w:rsidRPr="00000000" w14:paraId="00000023">
      <w:pPr>
        <w:numPr>
          <w:ilvl w:val="0"/>
          <w:numId w:val="3"/>
        </w:numPr>
        <w:ind w:left="720" w:hanging="360"/>
      </w:pPr>
      <w:r w:rsidDel="00000000" w:rsidR="00000000" w:rsidRPr="00000000">
        <w:rPr>
          <w:rFonts w:ascii="Roboto Mono" w:cs="Roboto Mono" w:eastAsia="Roboto Mono" w:hAnsi="Roboto Mono"/>
          <w:color w:val="188038"/>
          <w:rtl w:val="0"/>
        </w:rPr>
        <w:t xml:space="preserve">Bucket</w:t>
      </w:r>
      <w:r w:rsidDel="00000000" w:rsidR="00000000" w:rsidRPr="00000000">
        <w:rPr>
          <w:rtl w:val="0"/>
        </w:rPr>
        <w:t xml:space="preserve"> &gt; (B4) 126</w:t>
      </w:r>
    </w:p>
    <w:p w:rsidR="00000000" w:rsidDel="00000000" w:rsidP="00000000" w:rsidRDefault="00000000" w:rsidRPr="00000000" w14:paraId="00000024">
      <w:pPr>
        <w:numPr>
          <w:ilvl w:val="0"/>
          <w:numId w:val="3"/>
        </w:numPr>
        <w:ind w:left="720" w:hanging="360"/>
      </w:pPr>
      <w:r w:rsidDel="00000000" w:rsidR="00000000" w:rsidRPr="00000000">
        <w:rPr>
          <w:rFonts w:ascii="Roboto Mono" w:cs="Roboto Mono" w:eastAsia="Roboto Mono" w:hAnsi="Roboto Mono"/>
          <w:color w:val="188038"/>
          <w:rtl w:val="0"/>
        </w:rPr>
        <w:t xml:space="preserve">Bucket-level</w:t>
      </w:r>
      <w:r w:rsidDel="00000000" w:rsidR="00000000" w:rsidRPr="00000000">
        <w:rPr>
          <w:rtl w:val="0"/>
        </w:rPr>
        <w:t xml:space="preserve"> &gt; (B4) 45</w:t>
      </w:r>
    </w:p>
    <w:p w:rsidR="00000000" w:rsidDel="00000000" w:rsidP="00000000" w:rsidRDefault="00000000" w:rsidRPr="00000000" w14:paraId="00000025">
      <w:pPr>
        <w:numPr>
          <w:ilvl w:val="0"/>
          <w:numId w:val="3"/>
        </w:numPr>
        <w:ind w:left="720" w:hanging="360"/>
      </w:pPr>
      <w:r w:rsidDel="00000000" w:rsidR="00000000" w:rsidRPr="00000000">
        <w:rPr>
          <w:rFonts w:ascii="Roboto Mono" w:cs="Roboto Mono" w:eastAsia="Roboto Mono" w:hAnsi="Roboto Mono"/>
          <w:color w:val="188038"/>
          <w:rtl w:val="0"/>
        </w:rPr>
        <w:t xml:space="preserve">Building A Network Infrastructure</w:t>
      </w:r>
      <w:r w:rsidDel="00000000" w:rsidR="00000000" w:rsidRPr="00000000">
        <w:rPr>
          <w:rtl w:val="0"/>
        </w:rPr>
        <w:t xml:space="preserve"> &gt; (B3) 9</w:t>
      </w:r>
    </w:p>
    <w:p w:rsidR="00000000" w:rsidDel="00000000" w:rsidP="00000000" w:rsidRDefault="00000000" w:rsidRPr="00000000" w14:paraId="00000026">
      <w:pPr>
        <w:numPr>
          <w:ilvl w:val="0"/>
          <w:numId w:val="3"/>
        </w:numPr>
        <w:ind w:left="720" w:hanging="360"/>
      </w:pPr>
      <w:r w:rsidDel="00000000" w:rsidR="00000000" w:rsidRPr="00000000">
        <w:rPr>
          <w:rFonts w:ascii="Roboto Mono" w:cs="Roboto Mono" w:eastAsia="Roboto Mono" w:hAnsi="Roboto Mono"/>
          <w:color w:val="188038"/>
          <w:rtl w:val="0"/>
        </w:rPr>
        <w:t xml:space="preserve">Building Findings And Insights</w:t>
      </w:r>
      <w:r w:rsidDel="00000000" w:rsidR="00000000" w:rsidRPr="00000000">
        <w:rPr>
          <w:rtl w:val="0"/>
        </w:rPr>
        <w:t xml:space="preserve"> &gt; (B5) 40</w:t>
      </w:r>
    </w:p>
    <w:p w:rsidR="00000000" w:rsidDel="00000000" w:rsidP="00000000" w:rsidRDefault="00000000" w:rsidRPr="00000000" w14:paraId="00000027">
      <w:pPr>
        <w:numPr>
          <w:ilvl w:val="0"/>
          <w:numId w:val="3"/>
        </w:numPr>
        <w:ind w:left="720" w:hanging="360"/>
      </w:pPr>
      <w:r w:rsidDel="00000000" w:rsidR="00000000" w:rsidRPr="00000000">
        <w:rPr>
          <w:rFonts w:ascii="Roboto Mono" w:cs="Roboto Mono" w:eastAsia="Roboto Mono" w:hAnsi="Roboto Mono"/>
          <w:color w:val="188038"/>
          <w:rtl w:val="0"/>
        </w:rPr>
        <w:t xml:space="preserve">Built-in</w:t>
      </w:r>
      <w:r w:rsidDel="00000000" w:rsidR="00000000" w:rsidRPr="00000000">
        <w:rPr>
          <w:rtl w:val="0"/>
        </w:rPr>
        <w:t xml:space="preserve"> &gt; (B1) 108, (B4) 26</w:t>
      </w:r>
    </w:p>
    <w:p w:rsidR="00000000" w:rsidDel="00000000" w:rsidP="00000000" w:rsidRDefault="00000000" w:rsidRPr="00000000" w14:paraId="00000028">
      <w:pPr>
        <w:numPr>
          <w:ilvl w:val="0"/>
          <w:numId w:val="3"/>
        </w:numPr>
        <w:ind w:left="720" w:hanging="360"/>
      </w:pPr>
      <w:r w:rsidDel="00000000" w:rsidR="00000000" w:rsidRPr="00000000">
        <w:rPr>
          <w:rFonts w:ascii="Roboto Mono" w:cs="Roboto Mono" w:eastAsia="Roboto Mono" w:hAnsi="Roboto Mono"/>
          <w:color w:val="188038"/>
          <w:rtl w:val="0"/>
        </w:rPr>
        <w:t xml:space="preserve">Built-in Policy Definitions</w:t>
      </w:r>
      <w:r w:rsidDel="00000000" w:rsidR="00000000" w:rsidRPr="00000000">
        <w:rPr>
          <w:rtl w:val="0"/>
        </w:rPr>
        <w:t xml:space="preserve"> &gt; (B1) 108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oyl71igircn" w:id="2"/>
      <w:bookmarkEnd w:id="2"/>
      <w:r w:rsidDel="00000000" w:rsidR="00000000" w:rsidRPr="00000000">
        <w:rPr>
          <w:rtl w:val="0"/>
        </w:rPr>
        <w:t xml:space="preserve">Book 1 -- Identity &amp; Access Management Foundations</w:t>
      </w:r>
    </w:p>
    <w:p w:rsidR="00000000" w:rsidDel="00000000" w:rsidP="00000000" w:rsidRDefault="00000000" w:rsidRPr="00000000" w14:paraId="0000002C">
      <w:pPr>
        <w:pStyle w:val="Heading3"/>
        <w:rPr/>
      </w:pPr>
      <w:bookmarkStart w:colFirst="0" w:colLast="0" w:name="_x7fv5e6etad5" w:id="3"/>
      <w:bookmarkEnd w:id="3"/>
      <w:r w:rsidDel="00000000" w:rsidR="00000000" w:rsidRPr="00000000">
        <w:rPr>
          <w:rtl w:val="0"/>
        </w:rPr>
        <w:t xml:space="preserve">(B1) p.24 -- Boundaries</w:t>
      </w:r>
    </w:p>
    <w:p w:rsidR="00000000" w:rsidDel="00000000" w:rsidP="00000000" w:rsidRDefault="00000000" w:rsidRPr="00000000" w14:paraId="0000002D">
      <w:pPr>
        <w:ind w:left="600" w:right="600" w:firstLine="0"/>
        <w:rPr/>
      </w:pPr>
      <w:r w:rsidDel="00000000" w:rsidR="00000000" w:rsidRPr="00000000">
        <w:rPr>
          <w:rtl w:val="0"/>
        </w:rPr>
        <w:t xml:space="preserve">• Identify locations in the system where information has persisted. • What impact would a successful exploitation of the system have on the business? Step 3: Plan how to mitigate each threat. Are there obvious fixes or large security gaps that must be addressed within the architecture? While security misconfigurations are common, they often can be mitigated if identified early. Rank the severity of each threat you have identified before planning a larger strategy. There are many options for brainstorming threats. You can use the STRIDE model (Spoofing, Tampering, Repudiation, Information Disclosure, Denial of Service, and Elevation of Privilege) or refer to an internal threat catalog to get ideas and see if any fit your current system. Step 4: Document risks and assign individuals as "risk owners." This enhances accountability as the team identifies which operations or automated security processes can prevent further vulnerabilities down the road. For example, processes like public key authentication and role-based access control keep more of the system secure with the greatest efficiency (and least resource expenditure). Maintaining a central "risk owner" is problematic in many ways, mostly because it creates its own innate person-centered vulnerability. By empowering every team member and giving them ownership of a threat, bottlenecks are less likely to occur. Ownership is best given to those who understand the workload features, are already part of the design team, and become empowered to mitigate risks. Tips for Success in Threat Modeling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F">
      <w:pPr>
        <w:numPr>
          <w:ilvl w:val="0"/>
          <w:numId w:val="1"/>
        </w:numPr>
        <w:ind w:left="1320" w:right="600" w:hanging="360"/>
      </w:pPr>
      <w:r w:rsidDel="00000000" w:rsidR="00000000" w:rsidRPr="00000000">
        <w:rPr>
          <w:rtl w:val="0"/>
        </w:rPr>
        <w:t xml:space="preserve">Have a consistent and scalable approach to threat modeling. Use the same systematic approach for every threat. The first step to consistency is being uniform in how each threat is identified and ranked.</w:t>
      </w:r>
    </w:p>
    <w:p w:rsidR="00000000" w:rsidDel="00000000" w:rsidP="00000000" w:rsidRDefault="00000000" w:rsidRPr="00000000" w14:paraId="00000030">
      <w:pPr>
        <w:numPr>
          <w:ilvl w:val="0"/>
          <w:numId w:val="1"/>
        </w:numPr>
        <w:ind w:left="1320" w:right="600" w:hanging="360"/>
      </w:pPr>
      <w:r w:rsidDel="00000000" w:rsidR="00000000" w:rsidRPr="00000000">
        <w:rPr>
          <w:rtl w:val="0"/>
        </w:rPr>
        <w:t xml:space="preserve">Make use of existing collaboration tools. Don't reinvent the wheel when developers are already using an agreed-on productivity suite. Having threat modeling documentation treated as living documents within existing tools makes it far easier to track, review, and work asynchronously. This is analogous to having an agreed-upon official language for any international team of experts.</w:t>
      </w:r>
    </w:p>
    <w:p w:rsidR="00000000" w:rsidDel="00000000" w:rsidP="00000000" w:rsidRDefault="00000000" w:rsidRPr="00000000" w14:paraId="00000031">
      <w:pPr>
        <w:numPr>
          <w:ilvl w:val="0"/>
          <w:numId w:val="1"/>
        </w:numPr>
        <w:ind w:left="1320" w:right="600" w:hanging="360"/>
      </w:pPr>
      <w:r w:rsidDel="00000000" w:rsidR="00000000" w:rsidRPr="00000000">
        <w:rPr>
          <w:rtl w:val="0"/>
        </w:rPr>
        <w:t xml:space="preserve">Where possible, break the system into separate features that are evaluated with each threat modeling exercise. Detailed threat models on smaller workloads are more successful in identifying mitigating strategies. The process also becomes more scalable and reusable on other similar features. It is more likely that mitigations identified will be reusable across the board when the system is subdivided into its component parts.</w:t>
      </w:r>
    </w:p>
    <w:p w:rsidR="00000000" w:rsidDel="00000000" w:rsidP="00000000" w:rsidRDefault="00000000" w:rsidRPr="00000000" w14:paraId="00000032">
      <w:pPr>
        <w:pStyle w:val="Heading3"/>
        <w:rPr/>
      </w:pPr>
      <w:bookmarkStart w:colFirst="0" w:colLast="0" w:name="_nuuo0wb4m1nj" w:id="4"/>
      <w:bookmarkEnd w:id="4"/>
      <w:r w:rsidDel="00000000" w:rsidR="00000000" w:rsidRPr="00000000">
        <w:rPr>
          <w:rtl w:val="0"/>
        </w:rPr>
        <w:t xml:space="preserve">(B1) p.25 -- Boundaries</w:t>
      </w:r>
    </w:p>
    <w:p w:rsidR="00000000" w:rsidDel="00000000" w:rsidP="00000000" w:rsidRDefault="00000000" w:rsidRPr="00000000" w14:paraId="00000033">
      <w:pPr>
        <w:ind w:left="600" w:right="600" w:firstLine="0"/>
        <w:rPr/>
      </w:pPr>
      <w:r w:rsidDel="00000000" w:rsidR="00000000" w:rsidRPr="00000000">
        <w:rPr>
          <w:rtl w:val="0"/>
        </w:rPr>
        <w:t xml:space="preserve">Failure to Recognize a Threat: Apple AirTags Apple's failure to fully threat model their product in the design phase led to: • personal damage incurred by victims of crime, aided by AirTags. • reputation damage to the product and trust in the brand. </w:t>
      </w:r>
      <w:hyperlink r:id="rId6">
        <w:r w:rsidDel="00000000" w:rsidR="00000000" w:rsidRPr="00000000">
          <w:rPr>
            <w:color w:val="1155cc"/>
            <w:u w:val="single"/>
            <w:rtl w:val="0"/>
          </w:rPr>
          <w:t xml:space="preserve">https://x.com/Carnage4Life/status/</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5">
      <w:pPr>
        <w:ind w:left="600" w:right="600" w:firstLine="0"/>
        <w:rPr/>
      </w:pPr>
      <w:r w:rsidDel="00000000" w:rsidR="00000000" w:rsidRPr="00000000">
        <w:rPr>
          <w:rtl w:val="0"/>
        </w:rPr>
        <w:t xml:space="preserve">Threat assessment involves looking at the possible areas of software and hardware threats from "every angle." Sometimes the angle is closer to the perspective of the villain than everyone imagines. The tech giant Apple made that error recently when it debuted its Apple AirTags in the spring of 2021. Apple AirTags are small coin-shaped Bluetooth beacons using broadband technology.1 They have been marketed as anti-theft accessories. The idea is simple: attach an AirTag to anything you might lose–your luggage, dog collar, keychain, or child's backpack. Techies everywhere quickly expanded the device's anti- theft message writing blogs, including all sorts of creative ways to use them for entertainment. Soon after launch, the more criminal elements of our modern culture found them to be equally helpful.2 While iPhone users could be notified that the tracker belonging to someone else was moving with them (even if they couldn't find it), Android users would be unable to do so. This left people vulnerable to stalkers who could more easily track them. Instead of protecting your car against theft, some carjackers instead made use of them for their own purposes, hiding them somewhere on the vehicle. The "intimate threat model" was completely missed by Apple threat modelers. Insufficient controls and guidance to consumers at the time of deployment led to damaging to Apple's reputation, among other things. There is no evidence to date that anyone died as a result of this failure to threat model adequately, but certainly some victims have been harmed. Apple itself incurred damage to its brand, simply because its design engineers had a failure of imagination. This debacle has since resulted in a "patch" of sorts. Android users can now download an app called Tracker Detect so that AirTags can be scanned for in the individual's proximity.3 The company also provides information on how to stay safe in the era of Apple AirTags.4</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7">
      <w:pPr>
        <w:numPr>
          <w:ilvl w:val="0"/>
          <w:numId w:val="4"/>
        </w:numPr>
        <w:ind w:left="1320" w:right="600" w:hanging="360"/>
      </w:pPr>
      <w:hyperlink r:id="rId7">
        <w:r w:rsidDel="00000000" w:rsidR="00000000" w:rsidRPr="00000000">
          <w:rPr>
            <w:color w:val="1155cc"/>
            <w:u w:val="single"/>
            <w:rtl w:val="0"/>
          </w:rPr>
          <w:t xml:space="preserve">https://sec549.com/id1</w:t>
        </w:r>
      </w:hyperlink>
      <w:r w:rsidDel="00000000" w:rsidR="00000000" w:rsidRPr="00000000">
        <w:rPr>
          <w:rtl w:val="0"/>
        </w:rPr>
      </w:r>
    </w:p>
    <w:p w:rsidR="00000000" w:rsidDel="00000000" w:rsidP="00000000" w:rsidRDefault="00000000" w:rsidRPr="00000000" w14:paraId="00000038">
      <w:pPr>
        <w:numPr>
          <w:ilvl w:val="0"/>
          <w:numId w:val="4"/>
        </w:numPr>
        <w:ind w:left="1320" w:right="600" w:hanging="360"/>
      </w:pPr>
      <w:hyperlink r:id="rId8">
        <w:r w:rsidDel="00000000" w:rsidR="00000000" w:rsidRPr="00000000">
          <w:rPr>
            <w:color w:val="1155cc"/>
            <w:u w:val="single"/>
            <w:rtl w:val="0"/>
          </w:rPr>
          <w:t xml:space="preserve">https://sec549.com/id2</w:t>
        </w:r>
      </w:hyperlink>
      <w:r w:rsidDel="00000000" w:rsidR="00000000" w:rsidRPr="00000000">
        <w:rPr>
          <w:rtl w:val="0"/>
        </w:rPr>
      </w:r>
    </w:p>
    <w:p w:rsidR="00000000" w:rsidDel="00000000" w:rsidP="00000000" w:rsidRDefault="00000000" w:rsidRPr="00000000" w14:paraId="00000039">
      <w:pPr>
        <w:numPr>
          <w:ilvl w:val="0"/>
          <w:numId w:val="4"/>
        </w:numPr>
        <w:ind w:left="1320" w:right="600" w:hanging="360"/>
      </w:pPr>
      <w:hyperlink r:id="rId9">
        <w:r w:rsidDel="00000000" w:rsidR="00000000" w:rsidRPr="00000000">
          <w:rPr>
            <w:color w:val="1155cc"/>
            <w:u w:val="single"/>
            <w:rtl w:val="0"/>
          </w:rPr>
          <w:t xml:space="preserve">https://sec549.com/id3</w:t>
        </w:r>
      </w:hyperlink>
      <w:r w:rsidDel="00000000" w:rsidR="00000000" w:rsidRPr="00000000">
        <w:rPr>
          <w:rtl w:val="0"/>
        </w:rPr>
      </w:r>
    </w:p>
    <w:p w:rsidR="00000000" w:rsidDel="00000000" w:rsidP="00000000" w:rsidRDefault="00000000" w:rsidRPr="00000000" w14:paraId="0000003A">
      <w:pPr>
        <w:numPr>
          <w:ilvl w:val="0"/>
          <w:numId w:val="4"/>
        </w:numPr>
        <w:ind w:left="1320" w:right="600" w:hanging="360"/>
      </w:pPr>
      <w:hyperlink r:id="rId10">
        <w:r w:rsidDel="00000000" w:rsidR="00000000" w:rsidRPr="00000000">
          <w:rPr>
            <w:color w:val="1155cc"/>
            <w:u w:val="single"/>
            <w:rtl w:val="0"/>
          </w:rPr>
          <w:t xml:space="preserve">https://sec549.com/id4</w:t>
        </w:r>
      </w:hyperlink>
      <w:r w:rsidDel="00000000" w:rsidR="00000000" w:rsidRPr="00000000">
        <w:rPr>
          <w:rtl w:val="0"/>
        </w:rPr>
      </w:r>
    </w:p>
    <w:p w:rsidR="00000000" w:rsidDel="00000000" w:rsidP="00000000" w:rsidRDefault="00000000" w:rsidRPr="00000000" w14:paraId="0000003B">
      <w:pPr>
        <w:pStyle w:val="Heading3"/>
        <w:rPr/>
      </w:pPr>
      <w:bookmarkStart w:colFirst="0" w:colLast="0" w:name="_kx6huf9hz4gj" w:id="5"/>
      <w:bookmarkEnd w:id="5"/>
      <w:r w:rsidDel="00000000" w:rsidR="00000000" w:rsidRPr="00000000">
        <w:rPr>
          <w:rtl w:val="0"/>
        </w:rPr>
        <w:t xml:space="preserve">(B1) p.108 -- Built-in | Built-in Policy Definitions</w:t>
      </w:r>
    </w:p>
    <w:p w:rsidR="00000000" w:rsidDel="00000000" w:rsidP="00000000" w:rsidRDefault="00000000" w:rsidRPr="00000000" w14:paraId="0000003C">
      <w:pPr>
        <w:ind w:left="600" w:right="600" w:firstLine="0"/>
        <w:rPr/>
      </w:pPr>
      <w:r w:rsidDel="00000000" w:rsidR="00000000" w:rsidRPr="00000000">
        <w:rPr>
          <w:rtl w:val="0"/>
        </w:rPr>
        <w:t xml:space="preserve">Azure Policy • Remediate non-compliant resources • Audit resources for non- compliance – Deploy policies in audit mode • Prevent the deployment of non-compliant resources – Similar capability to AWS SCP and GCP org policy constraints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E">
      <w:pPr>
        <w:ind w:left="600" w:right="600" w:firstLine="0"/>
        <w:rPr/>
      </w:pPr>
      <w:r w:rsidDel="00000000" w:rsidR="00000000" w:rsidRPr="00000000">
        <w:rPr>
          <w:rtl w:val="0"/>
        </w:rPr>
        <w:t xml:space="preserve">In Azure, the ability to enforce top-down guardrails is bundled with a tool that grants the administrator a larger scope of control over resources. As you'll see, the capabilities of Azure policy are broader than GCP org policy constraints and AWS service control policy (SCP). In this module, we'll focus on how to use Azure policies for preventive guardrails, which involves a comparatively similar capability to GCP org policy constraints and AWS SCP. Azure Policy Azure policy is a configuration management tool in Azure that allows you to create policies that enforce/control the properties of a resource. It is used to evaluate any and all changes made to an Azure environment, regardless of how they are enacted. Even if end users make changes to the environment through the Azure Portal, Azure Console, PowerShell, or Azure CLI, all API calls pass through the Azure Resource Manager. It's at this control plane that Azure can consistently enforce Azure policy. What Can Azure Policy Do? Azure policy documents support multiple effects in order to respond to a non-compliant resource. • Remediate non-compliance – "DeployIfNotExists" deploys a companion resource defined in an ARM template when a non- compliant resource is created. – "Modify" modifies a setting when a resource is deployed missing the required configuration. – "Append" effect adds additional fields to a resource when it is deployed (updated or created). • Audit for non-compliance – "Audit" mode allows a non-compliant resource to be created but flags it as non-compliant. – "AuditIfNotExists" mode reports on the absence of a resource of a configuration. • Prevent non-compliance – "Deny" blocks the resource creation or update.</w:t>
      </w:r>
    </w:p>
    <w:p w:rsidR="00000000" w:rsidDel="00000000" w:rsidP="00000000" w:rsidRDefault="00000000" w:rsidRPr="00000000" w14:paraId="0000003F">
      <w:pPr>
        <w:pStyle w:val="Heading3"/>
        <w:rPr/>
      </w:pPr>
      <w:bookmarkStart w:colFirst="0" w:colLast="0" w:name="_x6zuqqsbu7u5" w:id="6"/>
      <w:bookmarkEnd w:id="6"/>
      <w:r w:rsidDel="00000000" w:rsidR="00000000" w:rsidRPr="00000000">
        <w:rPr>
          <w:rtl w:val="0"/>
        </w:rPr>
        <w:t xml:space="preserve">(B1) p.133 -- Break-glass | Break-glass Identity Bastion Architecture</w:t>
      </w:r>
    </w:p>
    <w:p w:rsidR="00000000" w:rsidDel="00000000" w:rsidP="00000000" w:rsidRDefault="00000000" w:rsidRPr="00000000" w14:paraId="00000040">
      <w:pPr>
        <w:ind w:left="600" w:right="600" w:firstLine="0"/>
        <w:rPr/>
      </w:pPr>
      <w:r w:rsidDel="00000000" w:rsidR="00000000" w:rsidRPr="00000000">
        <w:rPr>
          <w:rtl w:val="0"/>
        </w:rPr>
        <w:t xml:space="preserve">L2: Privileged Federated User Permissions • Many L1 job functions will include access to sensitive actions, resources, and administrator roles that are not needed daily • Rather than granting long-standing permissions to L1 standard user accounts, just-in-time privilege access managers can provide short-term access to sensitive resources and administrative roles: – Entra ID Privileged Identity Management (PIM) – Google Cloud Privileged Access Manager (PAM)</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2">
      <w:pPr>
        <w:ind w:left="600" w:right="600" w:firstLine="0"/>
        <w:rPr/>
      </w:pPr>
      <w:r w:rsidDel="00000000" w:rsidR="00000000" w:rsidRPr="00000000">
        <w:rPr>
          <w:rtl w:val="0"/>
        </w:rPr>
        <w:t xml:space="preserve">The L1: Standard Federated User job functions should not include permissions to sensitive resources or administrator roles. Most users do not require long-standing access to elevated permissions, as this creates significant risk for organizations. Instead, L2: Privileged Federated User permissions should follow an access design pattern that enforces just-in-time (JIT) access to elevated privileges only when needed. Privileged Access Management (PAM) or Privileged Identity Management (PIM) solutions eliminate long-standing privilege assignments. Instead, privileges are requested, verified, and approved (if necessary), providing a complete audit trail for all elevated access events. Microsoft Entra ID Privileged Identity Management (PIM) enables JIT access to privileged roles in Azure and Microsoft 365. This allows L1 standard users–who typically operate with low-level, least-privilege access–to temporarily elevate their permissions to perform sensitive tasks in line with L2 privileged user responsibilities, without holding those permissions permanently. For example, consider a user in a cloud engineering team (L1 Standard User) who needs to restart a production resource or access diagnostic logs protected by elevated permissions. Instead of being permanently assigned the Contributor role, the user is marked as eligible to gain access to the Contributor role in Entra PIM. When the task arises, the L1 user opens the PIM portal and requests to activate the Contributor role. After completing MFA, the L1 user waits for manager approval (if configured) and gains temporary access (e.g., 1 hour) to the L2 privileged user, which automatically reverts back to L1 after the access expires. Google Cloud's Privileged Access Manager (PAM) provides similar functionality for organizations accessing Google Cloud resources.</w:t>
      </w:r>
    </w:p>
    <w:p w:rsidR="00000000" w:rsidDel="00000000" w:rsidP="00000000" w:rsidRDefault="00000000" w:rsidRPr="00000000" w14:paraId="00000043">
      <w:pPr>
        <w:pStyle w:val="Heading3"/>
        <w:rPr/>
      </w:pPr>
      <w:bookmarkStart w:colFirst="0" w:colLast="0" w:name="_hcbj0ekoo5om" w:id="7"/>
      <w:bookmarkEnd w:id="7"/>
      <w:r w:rsidDel="00000000" w:rsidR="00000000" w:rsidRPr="00000000">
        <w:rPr>
          <w:rtl w:val="0"/>
        </w:rPr>
        <w:t xml:space="preserve">(B1) p.135 -- Break-glass | Break-glass, Root, Super Admin Credential Storage</w:t>
      </w:r>
    </w:p>
    <w:p w:rsidR="00000000" w:rsidDel="00000000" w:rsidP="00000000" w:rsidRDefault="00000000" w:rsidRPr="00000000" w14:paraId="00000044">
      <w:pPr>
        <w:ind w:left="600" w:right="600" w:firstLine="0"/>
        <w:rPr/>
      </w:pPr>
      <w:r w:rsidDel="00000000" w:rsidR="00000000" w:rsidRPr="00000000">
        <w:rPr>
          <w:rtl w:val="0"/>
        </w:rPr>
        <w:t xml:space="preserve">L3: Break-Glass Identity Bastion Architecture • AWS organizations: – Break-glass local IAM users are stored in a single hub account in the organization – IAM users in the bastion account can assume roles in the sub- accounts – Bastion accounts can also provide a central hub for vendor roles, federated identity providers, and PKI trust anchors • Azure/GCP organizations: – Break-glass users are stored in Entra ID or Cloud Identity – Programmatic, user-assigned managed identifies and service accounts live in a subscription/ project.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6">
      <w:pPr>
        <w:ind w:left="600" w:right="600" w:firstLine="0"/>
        <w:rPr/>
      </w:pPr>
      <w:r w:rsidDel="00000000" w:rsidR="00000000" w:rsidRPr="00000000">
        <w:rPr>
          <w:rtl w:val="0"/>
        </w:rPr>
        <w:t xml:space="preserve">Creating an identity bastion pattern is ideally the first step to take for managing break-glass local IAM users. In this pattern, the bastion we are referring to is not a jump host or EC2 instance; rather, it is a dedicated AWS account into which all local users can be centralized. It is through this identity bastion account1 that your break-glass administrators needing access to AWS resources can be assigned a single AWS IAM user, no matter which accounts they need to access in your organization. Components of an Identity Bastion Account This identity bastion account becomes the central identity account in which all local (non-federated) users live. By creating a solitary account that initially becomes the only one allowed to house your IAM users, you can greatly reduce the occurrence of users and their associated durable credentials across your AWS estate. As we will see in a later section, the identity bastion account can also help centralize other identity resources such as trusted identity providers (Azure, GitHub, etc.) and IAM Roles Anywhere PKI trust anchors. AWS Spoke Accounts These are the AWS accounts housing both IAM roles and resources. The roles are configured with trust policies allowing IAM users in the identity bastion account to assume the roles to access resources housed in spoke accounts. As we progress in the Delos architecture, we will find several additional identity related resources that can be housed in the identity bastion account. The diagram above shows an example bastion identity architecture pattern in AWS. The break-glass IAM users are housed in a central account (555555555555). Emergency users sign in to the bastion account using an IAM username, password, and MFA credential. From there, the IAM user has no direct permissions inside the identity bastion account. The only permissions granted to the IAM user are for the "sts:AssumeRole" action on one to many job specific IAM Roles in a spoke account. Illustrated in the diagram are job specific roles for a developer, DevOps, incident response, key management, and system administration.</w:t>
      </w:r>
    </w:p>
    <w:p w:rsidR="00000000" w:rsidDel="00000000" w:rsidP="00000000" w:rsidRDefault="00000000" w:rsidRPr="00000000" w14:paraId="00000047">
      <w:pPr>
        <w:pStyle w:val="Heading3"/>
        <w:rPr/>
      </w:pPr>
      <w:bookmarkStart w:colFirst="0" w:colLast="0" w:name="_7pg9l2t0udt4" w:id="8"/>
      <w:bookmarkEnd w:id="8"/>
      <w:r w:rsidDel="00000000" w:rsidR="00000000" w:rsidRPr="00000000">
        <w:rPr>
          <w:rtl w:val="0"/>
        </w:rPr>
        <w:t xml:space="preserve">(B1) p.136 -- Break-glass | Break-glass, Root, Super Admin MFA Options</w:t>
      </w:r>
    </w:p>
    <w:p w:rsidR="00000000" w:rsidDel="00000000" w:rsidP="00000000" w:rsidRDefault="00000000" w:rsidRPr="00000000" w14:paraId="00000048">
      <w:pPr>
        <w:ind w:left="600" w:right="600" w:firstLine="0"/>
        <w:rPr/>
      </w:pPr>
      <w:r w:rsidDel="00000000" w:rsidR="00000000" w:rsidRPr="00000000">
        <w:rPr>
          <w:rtl w:val="0"/>
        </w:rPr>
        <w:t xml:space="preserve">Google Cloud Service Accounts The identity bastion concept does apply to Google Cloud service accounts being used for break-glass access. Google Cloud Identity does not contain Google Cloud service accounts (also known as machine identities) managed separately for each Google Cloud project. For this reason, Google Cloud customers may want to implement the identity bastion pattern for managing service accounts centrally across the organization. Project owners simply bind a service account to a role and a resource in their organization. Azure User-Assigned Managed Identities Similar to Google Cloud, Azure user-assigned managed identities being used for break-glass access can live inside a centralized Azure subscription and resource group. This ensures these managed identities are easier to monitor and manage inside the tenant. References: • You need more than one AWS account: AWS bastions and assume-role: </w:t>
      </w:r>
      <w:hyperlink r:id="rId11">
        <w:r w:rsidDel="00000000" w:rsidR="00000000" w:rsidRPr="00000000">
          <w:rPr>
            <w:color w:val="1155cc"/>
            <w:u w:val="single"/>
            <w:rtl w:val="0"/>
          </w:rPr>
          <w:t xml:space="preserve">https://sec549.com/id70</w:t>
        </w:r>
      </w:hyperlink>
      <w:r w:rsidDel="00000000" w:rsidR="00000000" w:rsidRPr="00000000">
        <w:rPr>
          <w:rtl w:val="0"/>
        </w:rPr>
        <w:t xml:space="preserve"> • Google Cloud Service accounts overview: </w:t>
      </w:r>
      <w:hyperlink r:id="rId12">
        <w:r w:rsidDel="00000000" w:rsidR="00000000" w:rsidRPr="00000000">
          <w:rPr>
            <w:color w:val="1155cc"/>
            <w:u w:val="single"/>
            <w:rtl w:val="0"/>
          </w:rPr>
          <w:t xml:space="preserve">https://sec549.com/id686</w:t>
        </w:r>
      </w:hyperlink>
      <w:r w:rsidDel="00000000" w:rsidR="00000000" w:rsidRPr="00000000">
        <w:rPr>
          <w:rtl w:val="0"/>
        </w:rPr>
        <w:t xml:space="preserve"> • Azure Manage user-assigned managed identities: </w:t>
      </w:r>
      <w:hyperlink r:id="rId13">
        <w:r w:rsidDel="00000000" w:rsidR="00000000" w:rsidRPr="00000000">
          <w:rPr>
            <w:color w:val="1155cc"/>
            <w:u w:val="single"/>
            <w:rtl w:val="0"/>
          </w:rPr>
          <w:t xml:space="preserve">https://sec549.com/id687</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rPr/>
      </w:pPr>
      <w:bookmarkStart w:colFirst="0" w:colLast="0" w:name="_yblbuj7jni4p" w:id="9"/>
      <w:bookmarkEnd w:id="9"/>
      <w:r w:rsidDel="00000000" w:rsidR="00000000" w:rsidRPr="00000000">
        <w:rPr>
          <w:rtl w:val="0"/>
        </w:rPr>
        <w:t xml:space="preserve">Book 2 -- Authentication, Federation &amp; Identity Attacks</w:t>
      </w:r>
    </w:p>
    <w:p w:rsidR="00000000" w:rsidDel="00000000" w:rsidP="00000000" w:rsidRDefault="00000000" w:rsidRPr="00000000" w14:paraId="0000004C">
      <w:pPr>
        <w:pStyle w:val="Heading3"/>
        <w:rPr/>
      </w:pPr>
      <w:bookmarkStart w:colFirst="0" w:colLast="0" w:name="_7bpb01es6o26" w:id="10"/>
      <w:bookmarkEnd w:id="10"/>
      <w:r w:rsidDel="00000000" w:rsidR="00000000" w:rsidRPr="00000000">
        <w:rPr>
          <w:rtl w:val="0"/>
        </w:rPr>
        <w:t xml:space="preserve">(B2) p.56 -- Broad | Broad Policy Enforcing MFA | Broad Vs. Narrow Policies</w:t>
      </w:r>
    </w:p>
    <w:p w:rsidR="00000000" w:rsidDel="00000000" w:rsidP="00000000" w:rsidRDefault="00000000" w:rsidRPr="00000000" w14:paraId="0000004D">
      <w:pPr>
        <w:ind w:left="600" w:right="600" w:firstLine="0"/>
        <w:rPr/>
      </w:pPr>
      <w:r w:rsidDel="00000000" w:rsidR="00000000" w:rsidRPr="00000000">
        <w:rPr>
          <w:rtl w:val="0"/>
        </w:rPr>
        <w:t xml:space="preserve">CA Policy Session Control: Sign-In Frequency By default, Microsoft Entra ID will prompt users to sign in every 90 days. Use Conditional Access policies to change this behavior for: High Risk Apps Unusual Locations Groups of Users • Force reauthentication when accessing high risk applications like the Azure Portal. • Force reauthentication when login attempts originate from untrusted network locations. • Force reauthentication for users in administrator groups.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F">
      <w:pPr>
        <w:ind w:left="600" w:right="600" w:firstLine="0"/>
        <w:rPr/>
      </w:pPr>
      <w:r w:rsidDel="00000000" w:rsidR="00000000" w:rsidRPr="00000000">
        <w:rPr>
          <w:rtl w:val="0"/>
        </w:rPr>
        <w:t xml:space="preserve">Microsoft defines sign-in frequency as the time period before a user is asked to sign in again when attempting to access a resource. In Entra ID, the session length is defined within the Persistent Refresh Token (PRT). By default, Entra ID will issue PRT tokens with a session length of 90 days, only requiring users to reauthenticate every three months. Create unique Conditional Access policies1 to reduce the default session length from 90 days to 30, 10, or 1 day. Perhaps there are high-risk applications federated against Entra ID in which users should be forced to authenticate hourly, while others are much lower risk and can be allowed to be granted access with the default 90-day token. Some organizations may choose to restrict the length of sessions by using configurable token lifetime policy in Azure rather than creating Conditional Access policy to define session length. There are many downsides to this approach, as configurable token lifetime policy can only be used to restrict session lengths for desktop and mobile M365 apps such as OneDrive and Outlook. They cannot be used to restrict browser sessions. Conditional Access policies defining sign-in frequency cannot be used in conjunction with configurable token lifetime policy.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1">
      <w:pPr>
        <w:numPr>
          <w:ilvl w:val="0"/>
          <w:numId w:val="5"/>
        </w:numPr>
        <w:ind w:left="1320" w:right="600" w:hanging="360"/>
      </w:pPr>
      <w:hyperlink r:id="rId14">
        <w:r w:rsidDel="00000000" w:rsidR="00000000" w:rsidRPr="00000000">
          <w:rPr>
            <w:color w:val="1155cc"/>
            <w:u w:val="single"/>
            <w:rtl w:val="0"/>
          </w:rPr>
          <w:t xml:space="preserve">https://sec549.com/id478</w:t>
        </w:r>
      </w:hyperlink>
      <w:r w:rsidDel="00000000" w:rsidR="00000000" w:rsidRPr="00000000">
        <w:rPr>
          <w:rtl w:val="0"/>
        </w:rPr>
      </w:r>
    </w:p>
    <w:p w:rsidR="00000000" w:rsidDel="00000000" w:rsidP="00000000" w:rsidRDefault="00000000" w:rsidRPr="00000000" w14:paraId="00000052">
      <w:pPr>
        <w:numPr>
          <w:ilvl w:val="0"/>
          <w:numId w:val="5"/>
        </w:numPr>
        <w:ind w:left="1320" w:right="600" w:hanging="360"/>
      </w:pPr>
      <w:hyperlink r:id="rId15">
        <w:r w:rsidDel="00000000" w:rsidR="00000000" w:rsidRPr="00000000">
          <w:rPr>
            <w:color w:val="1155cc"/>
            <w:u w:val="single"/>
            <w:rtl w:val="0"/>
          </w:rPr>
          <w:t xml:space="preserve">https://sec549.com/id477</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rPr/>
      </w:pPr>
      <w:bookmarkStart w:colFirst="0" w:colLast="0" w:name="_z49gj5z7j45z" w:id="11"/>
      <w:bookmarkEnd w:id="11"/>
      <w:r w:rsidDel="00000000" w:rsidR="00000000" w:rsidRPr="00000000">
        <w:rPr>
          <w:rtl w:val="0"/>
        </w:rPr>
        <w:t xml:space="preserve">Book 3 -- Network Security &amp; Segmentation</w:t>
      </w:r>
    </w:p>
    <w:p w:rsidR="00000000" w:rsidDel="00000000" w:rsidP="00000000" w:rsidRDefault="00000000" w:rsidRPr="00000000" w14:paraId="00000056">
      <w:pPr>
        <w:pStyle w:val="Heading3"/>
        <w:rPr/>
      </w:pPr>
      <w:bookmarkStart w:colFirst="0" w:colLast="0" w:name="_51jib0stzcu3" w:id="12"/>
      <w:bookmarkEnd w:id="12"/>
      <w:r w:rsidDel="00000000" w:rsidR="00000000" w:rsidRPr="00000000">
        <w:rPr>
          <w:rtl w:val="0"/>
        </w:rPr>
        <w:t xml:space="preserve">(B3) p.9 -- Building A Network Infrastructure</w:t>
      </w:r>
    </w:p>
    <w:p w:rsidR="00000000" w:rsidDel="00000000" w:rsidP="00000000" w:rsidRDefault="00000000" w:rsidRPr="00000000" w14:paraId="00000057">
      <w:pPr>
        <w:ind w:left="600" w:right="600" w:firstLine="0"/>
        <w:rPr/>
      </w:pPr>
      <w:r w:rsidDel="00000000" w:rsidR="00000000" w:rsidRPr="00000000">
        <w:rPr>
          <w:rtl w:val="0"/>
        </w:rPr>
        <w:t xml:space="preserve">Visibility &amp; Analytics Capturing network traffic analytics and firewall logs across the environment and pushing that data to a centralized information management system. Then, tuning the information management system to display relevant dashboards with normal activity and potential indicators of compromise. We will cover this topic in depth in a later section. Threat Protection Building on the visibility &amp; analytics function, threat protection includes analytics and machine learning to detect attackers in real time. This is also known as security orchestration, automation, and response (SOAR). Again, we will cover this topic in depth in a later section. Reference: • CISA Zero Trust Maturity Model: </w:t>
      </w:r>
      <w:hyperlink r:id="rId16">
        <w:r w:rsidDel="00000000" w:rsidR="00000000" w:rsidRPr="00000000">
          <w:rPr>
            <w:color w:val="1155cc"/>
            <w:u w:val="single"/>
            <w:rtl w:val="0"/>
          </w:rPr>
          <w:t xml:space="preserve">https://sec549.com/id222</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rPr/>
      </w:pPr>
      <w:bookmarkStart w:colFirst="0" w:colLast="0" w:name="_hlvawomq6n5i" w:id="13"/>
      <w:bookmarkEnd w:id="13"/>
      <w:r w:rsidDel="00000000" w:rsidR="00000000" w:rsidRPr="00000000">
        <w:rPr>
          <w:rtl w:val="0"/>
        </w:rPr>
        <w:t xml:space="preserve">Book 4 -- Cloud Security Governance &amp; Data Protection</w:t>
      </w:r>
    </w:p>
    <w:p w:rsidR="00000000" w:rsidDel="00000000" w:rsidP="00000000" w:rsidRDefault="00000000" w:rsidRPr="00000000" w14:paraId="0000005B">
      <w:pPr>
        <w:pStyle w:val="Heading3"/>
        <w:rPr/>
      </w:pPr>
      <w:bookmarkStart w:colFirst="0" w:colLast="0" w:name="_2xa2aq68cp6l" w:id="14"/>
      <w:bookmarkEnd w:id="14"/>
      <w:r w:rsidDel="00000000" w:rsidR="00000000" w:rsidRPr="00000000">
        <w:rPr>
          <w:rtl w:val="0"/>
        </w:rPr>
        <w:t xml:space="preserve">(B4) p.26 -- Built-in</w:t>
      </w:r>
    </w:p>
    <w:p w:rsidR="00000000" w:rsidDel="00000000" w:rsidP="00000000" w:rsidRDefault="00000000" w:rsidRPr="00000000" w14:paraId="0000005C">
      <w:pPr>
        <w:ind w:left="600" w:right="600" w:firstLine="0"/>
        <w:rPr/>
      </w:pPr>
      <w:r w:rsidDel="00000000" w:rsidR="00000000" w:rsidRPr="00000000">
        <w:rPr>
          <w:rtl w:val="0"/>
        </w:rPr>
        <w:t xml:space="preserve">Organization Tag Policies Organization-level tag policies provide a way to enforce rules and conventions: • Attach rules anywhere in the resource hierarchy • Set default tag values • Monitor non-compliant resources • Enforce tags on resource creation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E">
      <w:pPr>
        <w:ind w:left="600" w:right="600" w:firstLine="0"/>
        <w:rPr/>
      </w:pPr>
      <w:r w:rsidDel="00000000" w:rsidR="00000000" w:rsidRPr="00000000">
        <w:rPr>
          <w:rtl w:val="0"/>
        </w:rPr>
        <w:t xml:space="preserve">To address these concerns, each cloud provider added support for monitoring and enforcing organization- level tag policy configurations. AWS Organizations, Azure Policy, or Google Cloud Organization Policy services provide a way to define tag policies across the cloud environment. Depending on the cloud provider, tagging policies can be configured in report-only mode to identify non-compliant resources or in preventative mode to block the creation of non-compliant resources. Tag policies can be attached a different locations in the resource hierarchy AWS Organizations Tag Policy AWS Service Control Policy (SCP) statements can be used to prevent the creation of certain resources without a tag name (e.g., Classification). Then, a custom tag policy document describes the allowed values for a given tag. For example, the following policy would require all s3 buckets to include a Classification tag with a value of Public, Internal, Confidential, or Restricted. (Continued on next page.)</w:t>
      </w:r>
    </w:p>
    <w:p w:rsidR="00000000" w:rsidDel="00000000" w:rsidP="00000000" w:rsidRDefault="00000000" w:rsidRPr="00000000" w14:paraId="0000005F">
      <w:pPr>
        <w:pStyle w:val="Heading3"/>
        <w:rPr/>
      </w:pPr>
      <w:bookmarkStart w:colFirst="0" w:colLast="0" w:name="_obl31j9fhepv" w:id="15"/>
      <w:bookmarkEnd w:id="15"/>
      <w:r w:rsidDel="00000000" w:rsidR="00000000" w:rsidRPr="00000000">
        <w:rPr>
          <w:rtl w:val="0"/>
        </w:rPr>
        <w:t xml:space="preserve">(B4) p.45 -- Bucket-level</w:t>
      </w:r>
    </w:p>
    <w:p w:rsidR="00000000" w:rsidDel="00000000" w:rsidP="00000000" w:rsidRDefault="00000000" w:rsidRPr="00000000" w14:paraId="00000060">
      <w:pPr>
        <w:ind w:left="600" w:right="600" w:firstLine="0"/>
        <w:rPr/>
      </w:pPr>
      <w:r w:rsidDel="00000000" w:rsidR="00000000" w:rsidRPr="00000000">
        <w:rPr>
          <w:rtl w:val="0"/>
        </w:rPr>
        <w:t xml:space="preserve">Course Roadmap Section 1: Cloud Account Management and Identity Foundations Section 2: Implementing an Identity Perimeter in the Cloud Section 3: Network Access Perimeters for the Cloud Section 4: Data Access Perimeters in the Cloud Section 5: Enabling the Cloud- Focused SOC • The Data Security and Privacy Handbook • Defining and Dissecting Data in the Cloud Lab 4.1: Data Discovery and Classification • Defending Data in the Cloud • Data Storage and Data Lake Security Lab 4.2: SAR: Sharing S3 Data Through Access Points Lab 4.3: SAR: BigQuery Data Lake Design • Key Management Architecture Lab 4.4: SAR: Azure Customer Managed Key Architecture Lab 4.5: SAR: GCP Customer Managed Key Architecture Lab 4.6: SAR: AWS Customer Managed Key Architecture • Disaster Recovery Lab 4.7: CloudWars: Data Lake Migration and Disaster Recovery Planning</w:t>
      </w:r>
    </w:p>
    <w:p w:rsidR="00000000" w:rsidDel="00000000" w:rsidP="00000000" w:rsidRDefault="00000000" w:rsidRPr="00000000" w14:paraId="00000061">
      <w:pPr>
        <w:pStyle w:val="Heading3"/>
        <w:rPr/>
      </w:pPr>
      <w:bookmarkStart w:colFirst="0" w:colLast="0" w:name="_7zjg31oadwdw" w:id="16"/>
      <w:bookmarkEnd w:id="16"/>
      <w:r w:rsidDel="00000000" w:rsidR="00000000" w:rsidRPr="00000000">
        <w:rPr>
          <w:rtl w:val="0"/>
        </w:rPr>
        <w:t xml:space="preserve">(B4) p.126 -- Bucket</w:t>
      </w:r>
    </w:p>
    <w:p w:rsidR="00000000" w:rsidDel="00000000" w:rsidP="00000000" w:rsidRDefault="00000000" w:rsidRPr="00000000" w14:paraId="00000062">
      <w:pPr>
        <w:ind w:left="600" w:right="600" w:firstLine="0"/>
        <w:rPr/>
      </w:pPr>
      <w:r w:rsidDel="00000000" w:rsidR="00000000" w:rsidRPr="00000000">
        <w:rPr>
          <w:rtl w:val="0"/>
        </w:rPr>
        <w:t xml:space="preserve">References: • AWS IAM – Using service-linked roles: </w:t>
      </w:r>
      <w:hyperlink r:id="rId17">
        <w:r w:rsidDel="00000000" w:rsidR="00000000" w:rsidRPr="00000000">
          <w:rPr>
            <w:color w:val="1155cc"/>
            <w:u w:val="single"/>
            <w:rtl w:val="0"/>
          </w:rPr>
          <w:t xml:space="preserve">https://sec549.com/id441</w:t>
        </w:r>
      </w:hyperlink>
      <w:r w:rsidDel="00000000" w:rsidR="00000000" w:rsidRPr="00000000">
        <w:rPr>
          <w:rtl w:val="0"/>
        </w:rPr>
        <w:t xml:space="preserve"> • AWS CloudWatch – Enabling logging from certain AWS services: </w:t>
      </w:r>
      <w:hyperlink r:id="rId18">
        <w:r w:rsidDel="00000000" w:rsidR="00000000" w:rsidRPr="00000000">
          <w:rPr>
            <w:color w:val="1155cc"/>
            <w:u w:val="single"/>
            <w:rtl w:val="0"/>
          </w:rPr>
          <w:t xml:space="preserve">https://sec549.com/id440</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rPr/>
      </w:pPr>
      <w:bookmarkStart w:colFirst="0" w:colLast="0" w:name="_3klve7lgdihm" w:id="17"/>
      <w:bookmarkEnd w:id="17"/>
      <w:r w:rsidDel="00000000" w:rsidR="00000000" w:rsidRPr="00000000">
        <w:rPr>
          <w:rtl w:val="0"/>
        </w:rPr>
        <w:t xml:space="preserve">Book 5 -- Detection, Response &amp; Security Operations</w:t>
      </w:r>
    </w:p>
    <w:p w:rsidR="00000000" w:rsidDel="00000000" w:rsidP="00000000" w:rsidRDefault="00000000" w:rsidRPr="00000000" w14:paraId="00000066">
      <w:pPr>
        <w:pStyle w:val="Heading3"/>
        <w:rPr/>
      </w:pPr>
      <w:bookmarkStart w:colFirst="0" w:colLast="0" w:name="_crew63uw84im" w:id="18"/>
      <w:bookmarkEnd w:id="18"/>
      <w:r w:rsidDel="00000000" w:rsidR="00000000" w:rsidRPr="00000000">
        <w:rPr>
          <w:rtl w:val="0"/>
        </w:rPr>
        <w:t xml:space="preserve">(B5) p.40 -- Building Findings And Insights</w:t>
      </w:r>
    </w:p>
    <w:p w:rsidR="00000000" w:rsidDel="00000000" w:rsidP="00000000" w:rsidRDefault="00000000" w:rsidRPr="00000000" w14:paraId="00000067">
      <w:pPr>
        <w:ind w:left="600" w:right="600" w:firstLine="0"/>
        <w:rPr/>
      </w:pPr>
      <w:r w:rsidDel="00000000" w:rsidR="00000000" w:rsidRPr="00000000">
        <w:rPr>
          <w:rtl w:val="0"/>
        </w:rPr>
        <w:t xml:space="preserve">Control-Plane OS and App-Layer Logs by Cloud Provider Description Primary Concepts Service / Log Name Provider Collect system logs from EC2 instances CloudWatch Logging Agent CloudWatch Logs AWS Collect, aggregate, and summarize metrics and logs for ECS and EKS Container Insights Collect Lambda function telemetry and logs Lambda Execution Collect system logs from Azure VMs Azure Monitor Agent Azure Monitor Azure Collect container logs from AKS clusters Container Insights Collect application performance and usage data for Azure App Services and Functions Application Insights Collect system logs from Compute instances Ops Agent Cloud Logging Google Cloud Collect container and control plane GKE logs GKE Logging Agent Write application logs to Cloud Logging Cloud Logging Client SDK</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9">
      <w:pPr>
        <w:ind w:left="600" w:right="600" w:firstLine="0"/>
        <w:rPr/>
      </w:pPr>
      <w:r w:rsidDel="00000000" w:rsidR="00000000" w:rsidRPr="00000000">
        <w:rPr>
          <w:rtl w:val="0"/>
        </w:rPr>
        <w:t xml:space="preserve">Each of the cloud providers has very similar services and capabilities for capturing operating system (OS) level and application level log data: AWS AWS CloudWatch collects monitoring and operational data in the form of logs, metrics, and events, providing a unified view of AWS resources, applications, and services that run on AWS and on-premises servers. The AWS CloudWatch Logs Agent is a software package that can be installed on servers to send logs to an AWS CloudWatch Log Group. The CloudWatch Logs Agent supports both AWS EC2 instances and servers not running inside AWS. The agent allows for the collection of log data from various sources, such as application logs or system logs, and its transmission to CloudWatch for monitoring, storage, and analysis. AWS Container Insights is a feature integrated within Amazon CloudWatch that provides detailed monitoring, logging, and diagnostics for containerized applications running on Amazon ECS (Elastic Container Service), Amazon EKS (Elastic Kubernetes Service), and AWS Fargate. Similarly, AWS Lambda functions automatically send execution logs and custom logging statements to CloudWatch Logs groups for analysis. Azure Azure Monitor collects data from various sources, including application telemetry, infrastructure monitoring, network monitoring, and user analytics, to provide a centralized workspace for log analysis, alerts, and notifications. The Azure Monitor Agent is a software package installed on Azure virtual machines and other servers. The agent collects log data from the server and sends that to the configured Azure Monitor log analytics workspace. Azure Monitor's Container Insights collects and analyzes container logs from Azure Kubernetes clusters.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rPr/>
      </w:pPr>
      <w:bookmarkStart w:colFirst="0" w:colLast="0" w:name="_tjfouv7hx0pp" w:id="19"/>
      <w:bookmarkEnd w:id="19"/>
      <w:r w:rsidDel="00000000" w:rsidR="00000000" w:rsidRPr="00000000">
        <w:rPr>
          <w:rtl w:val="0"/>
        </w:rPr>
        <w:t xml:space="preserve">Review Checklist</w:t>
      </w:r>
    </w:p>
    <w:p w:rsidR="00000000" w:rsidDel="00000000" w:rsidP="00000000" w:rsidRDefault="00000000" w:rsidRPr="00000000" w14:paraId="0000006D">
      <w:pPr>
        <w:numPr>
          <w:ilvl w:val="0"/>
          <w:numId w:val="2"/>
        </w:numPr>
        <w:ind w:left="720" w:hanging="360"/>
      </w:pPr>
      <w:r w:rsidDel="00000000" w:rsidR="00000000" w:rsidRPr="00000000">
        <w:rPr>
          <w:rtl w:val="0"/>
        </w:rPr>
        <w:t xml:space="preserve">Boundaries</w:t>
      </w:r>
    </w:p>
    <w:p w:rsidR="00000000" w:rsidDel="00000000" w:rsidP="00000000" w:rsidRDefault="00000000" w:rsidRPr="00000000" w14:paraId="0000006E">
      <w:pPr>
        <w:numPr>
          <w:ilvl w:val="0"/>
          <w:numId w:val="2"/>
        </w:numPr>
        <w:ind w:left="720" w:hanging="360"/>
      </w:pPr>
      <w:r w:rsidDel="00000000" w:rsidR="00000000" w:rsidRPr="00000000">
        <w:rPr>
          <w:rtl w:val="0"/>
        </w:rPr>
        <w:t xml:space="preserve">Break-glass</w:t>
      </w:r>
    </w:p>
    <w:p w:rsidR="00000000" w:rsidDel="00000000" w:rsidP="00000000" w:rsidRDefault="00000000" w:rsidRPr="00000000" w14:paraId="0000006F">
      <w:pPr>
        <w:numPr>
          <w:ilvl w:val="0"/>
          <w:numId w:val="2"/>
        </w:numPr>
        <w:ind w:left="720" w:hanging="360"/>
      </w:pPr>
      <w:r w:rsidDel="00000000" w:rsidR="00000000" w:rsidRPr="00000000">
        <w:rPr>
          <w:rtl w:val="0"/>
        </w:rPr>
        <w:t xml:space="preserve">Break-glass Identity Bastion Architecture</w:t>
      </w:r>
    </w:p>
    <w:p w:rsidR="00000000" w:rsidDel="00000000" w:rsidP="00000000" w:rsidRDefault="00000000" w:rsidRPr="00000000" w14:paraId="00000070">
      <w:pPr>
        <w:numPr>
          <w:ilvl w:val="0"/>
          <w:numId w:val="2"/>
        </w:numPr>
        <w:ind w:left="720" w:hanging="360"/>
      </w:pPr>
      <w:r w:rsidDel="00000000" w:rsidR="00000000" w:rsidRPr="00000000">
        <w:rPr>
          <w:rtl w:val="0"/>
        </w:rPr>
        <w:t xml:space="preserve">Break-glass, Root, Super Admin Credential Storage</w:t>
      </w:r>
    </w:p>
    <w:p w:rsidR="00000000" w:rsidDel="00000000" w:rsidP="00000000" w:rsidRDefault="00000000" w:rsidRPr="00000000" w14:paraId="00000071">
      <w:pPr>
        <w:numPr>
          <w:ilvl w:val="0"/>
          <w:numId w:val="2"/>
        </w:numPr>
        <w:ind w:left="720" w:hanging="360"/>
      </w:pPr>
      <w:r w:rsidDel="00000000" w:rsidR="00000000" w:rsidRPr="00000000">
        <w:rPr>
          <w:rtl w:val="0"/>
        </w:rPr>
        <w:t xml:space="preserve">Break-glass, Root, Super Admin MFA Options</w:t>
      </w:r>
    </w:p>
    <w:p w:rsidR="00000000" w:rsidDel="00000000" w:rsidP="00000000" w:rsidRDefault="00000000" w:rsidRPr="00000000" w14:paraId="00000072">
      <w:pPr>
        <w:numPr>
          <w:ilvl w:val="0"/>
          <w:numId w:val="2"/>
        </w:numPr>
        <w:ind w:left="720" w:hanging="360"/>
      </w:pPr>
      <w:r w:rsidDel="00000000" w:rsidR="00000000" w:rsidRPr="00000000">
        <w:rPr>
          <w:rtl w:val="0"/>
        </w:rPr>
        <w:t xml:space="preserve">Broad</w:t>
      </w:r>
    </w:p>
    <w:p w:rsidR="00000000" w:rsidDel="00000000" w:rsidP="00000000" w:rsidRDefault="00000000" w:rsidRPr="00000000" w14:paraId="00000073">
      <w:pPr>
        <w:numPr>
          <w:ilvl w:val="0"/>
          <w:numId w:val="2"/>
        </w:numPr>
        <w:ind w:left="720" w:hanging="360"/>
      </w:pPr>
      <w:r w:rsidDel="00000000" w:rsidR="00000000" w:rsidRPr="00000000">
        <w:rPr>
          <w:rtl w:val="0"/>
        </w:rPr>
        <w:t xml:space="preserve">Broad Policy Enforcing MFA</w:t>
      </w:r>
    </w:p>
    <w:p w:rsidR="00000000" w:rsidDel="00000000" w:rsidP="00000000" w:rsidRDefault="00000000" w:rsidRPr="00000000" w14:paraId="00000074">
      <w:pPr>
        <w:numPr>
          <w:ilvl w:val="0"/>
          <w:numId w:val="2"/>
        </w:numPr>
        <w:ind w:left="720" w:hanging="360"/>
      </w:pPr>
      <w:r w:rsidDel="00000000" w:rsidR="00000000" w:rsidRPr="00000000">
        <w:rPr>
          <w:rtl w:val="0"/>
        </w:rPr>
        <w:t xml:space="preserve">Broad Vs. Narrow Policies</w:t>
      </w:r>
    </w:p>
    <w:p w:rsidR="00000000" w:rsidDel="00000000" w:rsidP="00000000" w:rsidRDefault="00000000" w:rsidRPr="00000000" w14:paraId="00000075">
      <w:pPr>
        <w:numPr>
          <w:ilvl w:val="0"/>
          <w:numId w:val="2"/>
        </w:numPr>
        <w:ind w:left="720" w:hanging="360"/>
      </w:pPr>
      <w:r w:rsidDel="00000000" w:rsidR="00000000" w:rsidRPr="00000000">
        <w:rPr>
          <w:rtl w:val="0"/>
        </w:rPr>
        <w:t xml:space="preserve">Bucket</w:t>
      </w:r>
    </w:p>
    <w:p w:rsidR="00000000" w:rsidDel="00000000" w:rsidP="00000000" w:rsidRDefault="00000000" w:rsidRPr="00000000" w14:paraId="00000076">
      <w:pPr>
        <w:numPr>
          <w:ilvl w:val="0"/>
          <w:numId w:val="2"/>
        </w:numPr>
        <w:ind w:left="720" w:hanging="360"/>
      </w:pPr>
      <w:r w:rsidDel="00000000" w:rsidR="00000000" w:rsidRPr="00000000">
        <w:rPr>
          <w:rtl w:val="0"/>
        </w:rPr>
        <w:t xml:space="preserve">Bucket-level</w:t>
      </w:r>
    </w:p>
    <w:p w:rsidR="00000000" w:rsidDel="00000000" w:rsidP="00000000" w:rsidRDefault="00000000" w:rsidRPr="00000000" w14:paraId="00000077">
      <w:pPr>
        <w:numPr>
          <w:ilvl w:val="0"/>
          <w:numId w:val="2"/>
        </w:numPr>
        <w:ind w:left="720" w:hanging="360"/>
      </w:pPr>
      <w:r w:rsidDel="00000000" w:rsidR="00000000" w:rsidRPr="00000000">
        <w:rPr>
          <w:rtl w:val="0"/>
        </w:rPr>
        <w:t xml:space="preserve">Building A Network Infrastructure</w:t>
      </w:r>
    </w:p>
    <w:p w:rsidR="00000000" w:rsidDel="00000000" w:rsidP="00000000" w:rsidRDefault="00000000" w:rsidRPr="00000000" w14:paraId="00000078">
      <w:pPr>
        <w:numPr>
          <w:ilvl w:val="0"/>
          <w:numId w:val="2"/>
        </w:numPr>
        <w:ind w:left="720" w:hanging="360"/>
      </w:pPr>
      <w:r w:rsidDel="00000000" w:rsidR="00000000" w:rsidRPr="00000000">
        <w:rPr>
          <w:rtl w:val="0"/>
        </w:rPr>
        <w:t xml:space="preserve">Building Findings And Insights</w:t>
      </w:r>
    </w:p>
    <w:p w:rsidR="00000000" w:rsidDel="00000000" w:rsidP="00000000" w:rsidRDefault="00000000" w:rsidRPr="00000000" w14:paraId="00000079">
      <w:pPr>
        <w:numPr>
          <w:ilvl w:val="0"/>
          <w:numId w:val="2"/>
        </w:numPr>
        <w:ind w:left="720" w:hanging="360"/>
      </w:pPr>
      <w:r w:rsidDel="00000000" w:rsidR="00000000" w:rsidRPr="00000000">
        <w:rPr>
          <w:rtl w:val="0"/>
        </w:rPr>
        <w:t xml:space="preserve">Built-in</w:t>
      </w:r>
    </w:p>
    <w:p w:rsidR="00000000" w:rsidDel="00000000" w:rsidP="00000000" w:rsidRDefault="00000000" w:rsidRPr="00000000" w14:paraId="0000007A">
      <w:pPr>
        <w:numPr>
          <w:ilvl w:val="0"/>
          <w:numId w:val="2"/>
        </w:numPr>
        <w:ind w:left="720" w:hanging="360"/>
      </w:pPr>
      <w:r w:rsidDel="00000000" w:rsidR="00000000" w:rsidRPr="00000000">
        <w:rPr>
          <w:rtl w:val="0"/>
        </w:rPr>
        <w:t xml:space="preserve">Built-in Policy Definitions</w:t>
      </w:r>
    </w:p>
    <w:p w:rsidR="00000000" w:rsidDel="00000000" w:rsidP="00000000" w:rsidRDefault="00000000" w:rsidRPr="00000000" w14:paraId="0000007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sec549.com/id70" TargetMode="External"/><Relationship Id="rId10" Type="http://schemas.openxmlformats.org/officeDocument/2006/relationships/hyperlink" Target="https://sec549.com/id4" TargetMode="External"/><Relationship Id="rId13" Type="http://schemas.openxmlformats.org/officeDocument/2006/relationships/hyperlink" Target="https://sec549.com/id687" TargetMode="External"/><Relationship Id="rId12" Type="http://schemas.openxmlformats.org/officeDocument/2006/relationships/hyperlink" Target="https://sec549.com/id68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ec549.com/id3" TargetMode="External"/><Relationship Id="rId15" Type="http://schemas.openxmlformats.org/officeDocument/2006/relationships/hyperlink" Target="https://sec549.com/id477" TargetMode="External"/><Relationship Id="rId14" Type="http://schemas.openxmlformats.org/officeDocument/2006/relationships/hyperlink" Target="https://sec549.com/id478" TargetMode="External"/><Relationship Id="rId17" Type="http://schemas.openxmlformats.org/officeDocument/2006/relationships/hyperlink" Target="https://sec549.com/id441" TargetMode="External"/><Relationship Id="rId16" Type="http://schemas.openxmlformats.org/officeDocument/2006/relationships/hyperlink" Target="https://sec549.com/id222" TargetMode="External"/><Relationship Id="rId5" Type="http://schemas.openxmlformats.org/officeDocument/2006/relationships/styles" Target="styles.xml"/><Relationship Id="rId6" Type="http://schemas.openxmlformats.org/officeDocument/2006/relationships/hyperlink" Target="https://x.com/Carnage4Life/status/" TargetMode="External"/><Relationship Id="rId18" Type="http://schemas.openxmlformats.org/officeDocument/2006/relationships/hyperlink" Target="https://sec549.com/id440" TargetMode="External"/><Relationship Id="rId7" Type="http://schemas.openxmlformats.org/officeDocument/2006/relationships/hyperlink" Target="https://sec549.com/id1" TargetMode="External"/><Relationship Id="rId8" Type="http://schemas.openxmlformats.org/officeDocument/2006/relationships/hyperlink" Target="https://sec549.com/id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