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5quk4cdyiqw" w:id="0"/>
      <w:bookmarkEnd w:id="0"/>
      <w:r w:rsidDel="00000000" w:rsidR="00000000" w:rsidRPr="00000000">
        <w:rPr>
          <w:rtl w:val="0"/>
        </w:rPr>
        <w:t xml:space="preserve">BeyondCorp &amp; BeyondProd — Zero Trust Architecture</w:t>
      </w:r>
    </w:p>
    <w:p w:rsidR="00000000" w:rsidDel="00000000" w:rsidP="00000000" w:rsidRDefault="00000000" w:rsidRPr="00000000" w14:paraId="00000002">
      <w:pPr>
        <w:rPr/>
      </w:pPr>
      <w:r w:rsidDel="00000000" w:rsidR="00000000" w:rsidRPr="00000000">
        <w:rPr>
          <w:rtl w:val="0"/>
        </w:rPr>
        <w:t xml:space="preserve">Generated: 2026-03-27 | 13 pages from 2 book(s)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er8fk8ms19n8" w:id="1"/>
      <w:bookmarkEnd w:id="1"/>
      <w:r w:rsidDel="00000000" w:rsidR="00000000" w:rsidRPr="00000000">
        <w:rPr>
          <w:rtl w:val="0"/>
        </w:rPr>
        <w:t xml:space="preserve">Flip To These Pages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b w:val="1"/>
                <w:bCs w:val="1"/>
                <w:rtl w:val="0"/>
              </w:rPr>
              <w:t xml:space="preserv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Domain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b w:val="1"/>
                <w:bCs w:val="1"/>
                <w:rtl w:val="0"/>
              </w:rPr>
              <w:t xml:space="preserve">(B2)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b w:val="1"/>
                <w:bCs w:val="1"/>
                <w:rtl w:val="0"/>
              </w:rPr>
              <w:t xml:space="preserve">12, 17, 18, 21, 23, 31, 33, 34, 35, 36, 37, 38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Authentication, Federation &amp; Identity Attacks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b w:val="1"/>
                <w:bCs w:val="1"/>
                <w:rtl w:val="0"/>
              </w:rPr>
              <w:t xml:space="preserve">(B3)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b w:val="1"/>
                <w:bCs w:val="1"/>
                <w:rtl w:val="0"/>
              </w:rPr>
              <w:t xml:space="preserve">134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Network Security &amp; Segmentation</w:t>
            </w:r>
          </w:p>
        </w:tc>
      </w:tr>
    </w:tbl>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Topics covered:</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2"/>
        </w:numPr>
        <w:ind w:left="720" w:hanging="360"/>
      </w:pPr>
      <w:r w:rsidDel="00000000" w:rsidR="00000000" w:rsidRPr="00000000">
        <w:rPr>
          <w:rFonts w:ascii="Roboto Mono" w:cs="Roboto Mono" w:eastAsia="Roboto Mono" w:hAnsi="Roboto Mono"/>
          <w:color w:val="188038"/>
          <w:rtl w:val="0"/>
        </w:rPr>
        <w:t xml:space="preserve">Beyondcorp</w:t>
      </w:r>
      <w:r w:rsidDel="00000000" w:rsidR="00000000" w:rsidRPr="00000000">
        <w:rPr>
          <w:rtl w:val="0"/>
        </w:rPr>
        <w:t xml:space="preserve"> &gt; (B2) 12 17 18 31 34 35 36 37 38, (B3) 134</w:t>
      </w:r>
    </w:p>
    <w:p w:rsidR="00000000" w:rsidDel="00000000" w:rsidP="00000000" w:rsidRDefault="00000000" w:rsidRPr="00000000" w14:paraId="00000013">
      <w:pPr>
        <w:numPr>
          <w:ilvl w:val="0"/>
          <w:numId w:val="2"/>
        </w:numPr>
        <w:ind w:left="720" w:hanging="360"/>
      </w:pPr>
      <w:r w:rsidDel="00000000" w:rsidR="00000000" w:rsidRPr="00000000">
        <w:rPr>
          <w:rFonts w:ascii="Roboto Mono" w:cs="Roboto Mono" w:eastAsia="Roboto Mono" w:hAnsi="Roboto Mono"/>
          <w:color w:val="188038"/>
          <w:rtl w:val="0"/>
        </w:rPr>
        <w:t xml:space="preserve">Beyondcorp Enterprise</w:t>
      </w:r>
      <w:r w:rsidDel="00000000" w:rsidR="00000000" w:rsidRPr="00000000">
        <w:rPr>
          <w:rtl w:val="0"/>
        </w:rPr>
        <w:t xml:space="preserve"> &gt; (B2) 33</w:t>
      </w:r>
    </w:p>
    <w:p w:rsidR="00000000" w:rsidDel="00000000" w:rsidP="00000000" w:rsidRDefault="00000000" w:rsidRPr="00000000" w14:paraId="00000014">
      <w:pPr>
        <w:numPr>
          <w:ilvl w:val="0"/>
          <w:numId w:val="2"/>
        </w:numPr>
        <w:ind w:left="720" w:hanging="360"/>
      </w:pPr>
      <w:r w:rsidDel="00000000" w:rsidR="00000000" w:rsidRPr="00000000">
        <w:rPr>
          <w:rFonts w:ascii="Roboto Mono" w:cs="Roboto Mono" w:eastAsia="Roboto Mono" w:hAnsi="Roboto Mono"/>
          <w:color w:val="188038"/>
          <w:rtl w:val="0"/>
        </w:rPr>
        <w:t xml:space="preserve">Beyondcorp Enterprise: Access Protection</w:t>
      </w:r>
      <w:r w:rsidDel="00000000" w:rsidR="00000000" w:rsidRPr="00000000">
        <w:rPr>
          <w:rtl w:val="0"/>
        </w:rPr>
        <w:t xml:space="preserve"> &gt; (B2) 33</w:t>
      </w:r>
    </w:p>
    <w:p w:rsidR="00000000" w:rsidDel="00000000" w:rsidP="00000000" w:rsidRDefault="00000000" w:rsidRPr="00000000" w14:paraId="00000015">
      <w:pPr>
        <w:numPr>
          <w:ilvl w:val="0"/>
          <w:numId w:val="2"/>
        </w:numPr>
        <w:ind w:left="720" w:hanging="360"/>
      </w:pPr>
      <w:r w:rsidDel="00000000" w:rsidR="00000000" w:rsidRPr="00000000">
        <w:rPr>
          <w:rFonts w:ascii="Roboto Mono" w:cs="Roboto Mono" w:eastAsia="Roboto Mono" w:hAnsi="Roboto Mono"/>
          <w:color w:val="188038"/>
          <w:rtl w:val="0"/>
        </w:rPr>
        <w:t xml:space="preserve">Beyondcorp: Access Context Manager</w:t>
      </w:r>
      <w:r w:rsidDel="00000000" w:rsidR="00000000" w:rsidRPr="00000000">
        <w:rPr>
          <w:rtl w:val="0"/>
        </w:rPr>
        <w:t xml:space="preserve"> &gt; (B2) 34 35 36 37</w:t>
      </w:r>
    </w:p>
    <w:p w:rsidR="00000000" w:rsidDel="00000000" w:rsidP="00000000" w:rsidRDefault="00000000" w:rsidRPr="00000000" w14:paraId="00000016">
      <w:pPr>
        <w:numPr>
          <w:ilvl w:val="0"/>
          <w:numId w:val="2"/>
        </w:numPr>
        <w:ind w:left="720" w:hanging="360"/>
      </w:pPr>
      <w:r w:rsidDel="00000000" w:rsidR="00000000" w:rsidRPr="00000000">
        <w:rPr>
          <w:rFonts w:ascii="Roboto Mono" w:cs="Roboto Mono" w:eastAsia="Roboto Mono" w:hAnsi="Roboto Mono"/>
          <w:color w:val="188038"/>
          <w:rtl w:val="0"/>
        </w:rPr>
        <w:t xml:space="preserve">Beyondcorp: Access Context Manager – Advanced Policy</w:t>
      </w:r>
      <w:r w:rsidDel="00000000" w:rsidR="00000000" w:rsidRPr="00000000">
        <w:rPr>
          <w:rtl w:val="0"/>
        </w:rPr>
        <w:t xml:space="preserve"> &gt; (B2) 37</w:t>
      </w:r>
    </w:p>
    <w:p w:rsidR="00000000" w:rsidDel="00000000" w:rsidP="00000000" w:rsidRDefault="00000000" w:rsidRPr="00000000" w14:paraId="00000017">
      <w:pPr>
        <w:numPr>
          <w:ilvl w:val="0"/>
          <w:numId w:val="2"/>
        </w:numPr>
        <w:ind w:left="720" w:hanging="360"/>
      </w:pPr>
      <w:r w:rsidDel="00000000" w:rsidR="00000000" w:rsidRPr="00000000">
        <w:rPr>
          <w:rFonts w:ascii="Roboto Mono" w:cs="Roboto Mono" w:eastAsia="Roboto Mono" w:hAnsi="Roboto Mono"/>
          <w:color w:val="188038"/>
          <w:rtl w:val="0"/>
        </w:rPr>
        <w:t xml:space="preserve">Beyondcorp: Access Context Manager – Basic Policy</w:t>
      </w:r>
      <w:r w:rsidDel="00000000" w:rsidR="00000000" w:rsidRPr="00000000">
        <w:rPr>
          <w:rtl w:val="0"/>
        </w:rPr>
        <w:t xml:space="preserve"> &gt; (B2) 34</w:t>
      </w:r>
    </w:p>
    <w:p w:rsidR="00000000" w:rsidDel="00000000" w:rsidP="00000000" w:rsidRDefault="00000000" w:rsidRPr="00000000" w14:paraId="00000018">
      <w:pPr>
        <w:numPr>
          <w:ilvl w:val="0"/>
          <w:numId w:val="2"/>
        </w:numPr>
        <w:ind w:left="720" w:hanging="360"/>
      </w:pPr>
      <w:r w:rsidDel="00000000" w:rsidR="00000000" w:rsidRPr="00000000">
        <w:rPr>
          <w:rFonts w:ascii="Roboto Mono" w:cs="Roboto Mono" w:eastAsia="Roboto Mono" w:hAnsi="Roboto Mono"/>
          <w:color w:val="188038"/>
          <w:rtl w:val="0"/>
        </w:rPr>
        <w:t xml:space="preserve">Beyondcorp: Access Context Manager – Device Policy</w:t>
      </w:r>
      <w:r w:rsidDel="00000000" w:rsidR="00000000" w:rsidRPr="00000000">
        <w:rPr>
          <w:rtl w:val="0"/>
        </w:rPr>
        <w:t xml:space="preserve"> &gt; (B2) 36</w:t>
      </w:r>
    </w:p>
    <w:p w:rsidR="00000000" w:rsidDel="00000000" w:rsidP="00000000" w:rsidRDefault="00000000" w:rsidRPr="00000000" w14:paraId="00000019">
      <w:pPr>
        <w:numPr>
          <w:ilvl w:val="0"/>
          <w:numId w:val="2"/>
        </w:numPr>
        <w:ind w:left="720" w:hanging="360"/>
      </w:pPr>
      <w:r w:rsidDel="00000000" w:rsidR="00000000" w:rsidRPr="00000000">
        <w:rPr>
          <w:rFonts w:ascii="Roboto Mono" w:cs="Roboto Mono" w:eastAsia="Roboto Mono" w:hAnsi="Roboto Mono"/>
          <w:color w:val="188038"/>
          <w:rtl w:val="0"/>
        </w:rPr>
        <w:t xml:space="preserve">Beyondcorp: Access Context Manager – Nested Policy</w:t>
      </w:r>
      <w:r w:rsidDel="00000000" w:rsidR="00000000" w:rsidRPr="00000000">
        <w:rPr>
          <w:rtl w:val="0"/>
        </w:rPr>
        <w:t xml:space="preserve"> &gt; (B2) 35</w:t>
      </w:r>
    </w:p>
    <w:p w:rsidR="00000000" w:rsidDel="00000000" w:rsidP="00000000" w:rsidRDefault="00000000" w:rsidRPr="00000000" w14:paraId="0000001A">
      <w:pPr>
        <w:numPr>
          <w:ilvl w:val="0"/>
          <w:numId w:val="2"/>
        </w:numPr>
        <w:ind w:left="720" w:hanging="360"/>
      </w:pPr>
      <w:r w:rsidDel="00000000" w:rsidR="00000000" w:rsidRPr="00000000">
        <w:rPr>
          <w:rFonts w:ascii="Roboto Mono" w:cs="Roboto Mono" w:eastAsia="Roboto Mono" w:hAnsi="Roboto Mono"/>
          <w:color w:val="188038"/>
          <w:rtl w:val="0"/>
        </w:rPr>
        <w:t xml:space="preserve">Beyondcorp: Access Control Engine (ACE)</w:t>
      </w:r>
      <w:r w:rsidDel="00000000" w:rsidR="00000000" w:rsidRPr="00000000">
        <w:rPr>
          <w:rtl w:val="0"/>
        </w:rPr>
        <w:t xml:space="preserve"> &gt; (B2) 18</w:t>
      </w:r>
    </w:p>
    <w:p w:rsidR="00000000" w:rsidDel="00000000" w:rsidP="00000000" w:rsidRDefault="00000000" w:rsidRPr="00000000" w14:paraId="0000001B">
      <w:pPr>
        <w:numPr>
          <w:ilvl w:val="0"/>
          <w:numId w:val="2"/>
        </w:numPr>
        <w:ind w:left="720" w:hanging="360"/>
      </w:pPr>
      <w:r w:rsidDel="00000000" w:rsidR="00000000" w:rsidRPr="00000000">
        <w:rPr>
          <w:rFonts w:ascii="Roboto Mono" w:cs="Roboto Mono" w:eastAsia="Roboto Mono" w:hAnsi="Roboto Mono"/>
          <w:color w:val="188038"/>
          <w:rtl w:val="0"/>
        </w:rPr>
        <w:t xml:space="preserve">Beyondcorp: Identity Aware Proxy</w:t>
      </w:r>
      <w:r w:rsidDel="00000000" w:rsidR="00000000" w:rsidRPr="00000000">
        <w:rPr>
          <w:rtl w:val="0"/>
        </w:rPr>
        <w:t xml:space="preserve"> &gt; (B2) 38</w:t>
      </w:r>
    </w:p>
    <w:p w:rsidR="00000000" w:rsidDel="00000000" w:rsidP="00000000" w:rsidRDefault="00000000" w:rsidRPr="00000000" w14:paraId="0000001C">
      <w:pPr>
        <w:numPr>
          <w:ilvl w:val="0"/>
          <w:numId w:val="2"/>
        </w:numPr>
        <w:ind w:left="720" w:hanging="360"/>
      </w:pPr>
      <w:r w:rsidDel="00000000" w:rsidR="00000000" w:rsidRPr="00000000">
        <w:rPr>
          <w:rFonts w:ascii="Roboto Mono" w:cs="Roboto Mono" w:eastAsia="Roboto Mono" w:hAnsi="Roboto Mono"/>
          <w:color w:val="188038"/>
          <w:rtl w:val="0"/>
        </w:rPr>
        <w:t xml:space="preserve">Beyondcorp: Zero Trust For The User</w:t>
      </w:r>
      <w:r w:rsidDel="00000000" w:rsidR="00000000" w:rsidRPr="00000000">
        <w:rPr>
          <w:rtl w:val="0"/>
        </w:rPr>
        <w:t xml:space="preserve"> &gt; (B2) 17</w:t>
      </w:r>
    </w:p>
    <w:p w:rsidR="00000000" w:rsidDel="00000000" w:rsidP="00000000" w:rsidRDefault="00000000" w:rsidRPr="00000000" w14:paraId="0000001D">
      <w:pPr>
        <w:numPr>
          <w:ilvl w:val="0"/>
          <w:numId w:val="2"/>
        </w:numPr>
        <w:ind w:left="720" w:hanging="360"/>
      </w:pPr>
      <w:r w:rsidDel="00000000" w:rsidR="00000000" w:rsidRPr="00000000">
        <w:rPr>
          <w:rFonts w:ascii="Roboto Mono" w:cs="Roboto Mono" w:eastAsia="Roboto Mono" w:hAnsi="Roboto Mono"/>
          <w:color w:val="188038"/>
          <w:rtl w:val="0"/>
        </w:rPr>
        <w:t xml:space="preserve">Beyondprod</w:t>
      </w:r>
      <w:r w:rsidDel="00000000" w:rsidR="00000000" w:rsidRPr="00000000">
        <w:rPr>
          <w:rtl w:val="0"/>
        </w:rPr>
        <w:t xml:space="preserve"> &gt; (B2) 12 21 23</w:t>
      </w:r>
    </w:p>
    <w:p w:rsidR="00000000" w:rsidDel="00000000" w:rsidP="00000000" w:rsidRDefault="00000000" w:rsidRPr="00000000" w14:paraId="0000001E">
      <w:pPr>
        <w:numPr>
          <w:ilvl w:val="0"/>
          <w:numId w:val="2"/>
        </w:numPr>
        <w:ind w:left="720" w:hanging="360"/>
      </w:pPr>
      <w:r w:rsidDel="00000000" w:rsidR="00000000" w:rsidRPr="00000000">
        <w:rPr>
          <w:rFonts w:ascii="Roboto Mono" w:cs="Roboto Mono" w:eastAsia="Roboto Mono" w:hAnsi="Roboto Mono"/>
          <w:color w:val="188038"/>
          <w:rtl w:val="0"/>
        </w:rPr>
        <w:t xml:space="preserve">Beyondprod: Core Characteristics</w:t>
      </w:r>
      <w:r w:rsidDel="00000000" w:rsidR="00000000" w:rsidRPr="00000000">
        <w:rPr>
          <w:rtl w:val="0"/>
        </w:rPr>
        <w:t xml:space="preserve"> &gt; (B2) 23</w:t>
      </w:r>
    </w:p>
    <w:p w:rsidR="00000000" w:rsidDel="00000000" w:rsidP="00000000" w:rsidRDefault="00000000" w:rsidRPr="00000000" w14:paraId="0000001F">
      <w:pPr>
        <w:numPr>
          <w:ilvl w:val="0"/>
          <w:numId w:val="2"/>
        </w:numPr>
        <w:ind w:left="720" w:hanging="360"/>
      </w:pPr>
      <w:r w:rsidDel="00000000" w:rsidR="00000000" w:rsidRPr="00000000">
        <w:rPr>
          <w:rFonts w:ascii="Roboto Mono" w:cs="Roboto Mono" w:eastAsia="Roboto Mono" w:hAnsi="Roboto Mono"/>
          <w:color w:val="188038"/>
          <w:rtl w:val="0"/>
        </w:rPr>
        <w:t xml:space="preserve">Beyondprod: Zero Trust For Workloads/services</w:t>
      </w:r>
      <w:r w:rsidDel="00000000" w:rsidR="00000000" w:rsidRPr="00000000">
        <w:rPr>
          <w:rtl w:val="0"/>
        </w:rPr>
        <w:t xml:space="preserve"> &gt; (B2) 21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g1g8dqmfvevr" w:id="2"/>
      <w:bookmarkEnd w:id="2"/>
      <w:r w:rsidDel="00000000" w:rsidR="00000000" w:rsidRPr="00000000">
        <w:rPr>
          <w:rtl w:val="0"/>
        </w:rPr>
        <w:t xml:space="preserve">Book 2 -- Authentication, Federation &amp; Identity Attacks</w:t>
      </w:r>
    </w:p>
    <w:p w:rsidR="00000000" w:rsidDel="00000000" w:rsidP="00000000" w:rsidRDefault="00000000" w:rsidRPr="00000000" w14:paraId="00000023">
      <w:pPr>
        <w:pStyle w:val="Heading3"/>
        <w:rPr/>
      </w:pPr>
      <w:bookmarkStart w:colFirst="0" w:colLast="0" w:name="_ksb7fjt7u2f" w:id="3"/>
      <w:bookmarkEnd w:id="3"/>
      <w:r w:rsidDel="00000000" w:rsidR="00000000" w:rsidRPr="00000000">
        <w:rPr>
          <w:rtl w:val="0"/>
        </w:rPr>
        <w:t xml:space="preserve">(B2) p.12 -- Beyondcorp | Beyondprod</w:t>
      </w:r>
    </w:p>
    <w:p w:rsidR="00000000" w:rsidDel="00000000" w:rsidP="00000000" w:rsidRDefault="00000000" w:rsidRPr="00000000" w14:paraId="00000024">
      <w:pPr>
        <w:ind w:left="600" w:right="600" w:firstLine="0"/>
        <w:rPr/>
      </w:pPr>
      <w:r w:rsidDel="00000000" w:rsidR="00000000" w:rsidRPr="00000000">
        <w:rPr>
          <w:rtl w:val="0"/>
        </w:rPr>
        <w:t xml:space="preserve">Why Implement a Zero Trust Access Model? • What was the "old way" of designing trust boundaries? – Networks were segmented and defined with different "trust levels" – Layer 2 and 3 controls policed movement between "trust levels" • When does the "old way" break down? – Microservices architecture lends itself to a flat network design, necessitating per- service authentication – Remote workforce is enabled with more corporate apps available outside of a VPN connection • The goal of incorporating ZT with existing legacy systems: – Augmenting classic network controls with identity controls, not necessarily replacing what has existed.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6">
      <w:pPr>
        <w:ind w:left="600" w:right="600" w:firstLine="0"/>
        <w:rPr/>
      </w:pPr>
      <w:r w:rsidDel="00000000" w:rsidR="00000000" w:rsidRPr="00000000">
        <w:rPr>
          <w:rtl w:val="0"/>
        </w:rPr>
        <w:t xml:space="preserve">The old trust model had people defining "trust levels" of different systems and applying policy for crossing the boundary from one trust level to another. Those boundaries were often gated with layer 2 and 3 controls. When those controls inevitably failed, the entire trust model collapsed. In the Beginning The outermost edge was protected from the "inside." A secure network within the premises was established and users were invited to connect to it. Later, worms and viruses made it clear that the network itself must be secured internally. Firewalls were created to maintain the ability of desired traffic to travel in and out of the network, while enhancing network security. The balance was to be "secure" and "efficient" at the same time. Unfortunately, this desire for balance was easily exploitable. The problem with the "old way?" The problems with trust have been well documented, going all the way back to Ken Thompson's speech from 1984, "Reflections on Trusting Trust." It's a thesis about how the concept of trust incentivizes bad behavior. All major security incidents boil down to an abuse of the concept of digital trust. Trust is a very human concept that should never have been applied to digital systems. Twentieth-century security involved levels of trust–hierarchical models where (in general), users outside of the system were not "trusted," while users were more "trusted" in a stepwise fashion. This repeatedly fell apart when the layer 2 and 3 controls were breached. After several spectacular internal attacks were uncovered in the first few years of the twenty-first century, it became increasingly clear that hierarchical models were not viable ways to approach security. ZT prevents lateral threat sprawl through microsegmentation and the development of granular perimeters of enforcement (particularly of sensitive data). All users and entities are treated the same, and none are inherently trusted.</w:t>
      </w:r>
    </w:p>
    <w:p w:rsidR="00000000" w:rsidDel="00000000" w:rsidP="00000000" w:rsidRDefault="00000000" w:rsidRPr="00000000" w14:paraId="00000027">
      <w:pPr>
        <w:pStyle w:val="Heading3"/>
        <w:rPr/>
      </w:pPr>
      <w:bookmarkStart w:colFirst="0" w:colLast="0" w:name="_8i95ldhdb6tv" w:id="4"/>
      <w:bookmarkEnd w:id="4"/>
      <w:r w:rsidDel="00000000" w:rsidR="00000000" w:rsidRPr="00000000">
        <w:rPr>
          <w:rtl w:val="0"/>
        </w:rPr>
        <w:t xml:space="preserve">(B2) p.17 -- Beyondcorp | Beyondcorp: Zero Trust For The User</w:t>
      </w:r>
    </w:p>
    <w:p w:rsidR="00000000" w:rsidDel="00000000" w:rsidP="00000000" w:rsidRDefault="00000000" w:rsidRPr="00000000" w14:paraId="00000028">
      <w:pPr>
        <w:ind w:left="600" w:right="600" w:firstLine="0"/>
        <w:rPr/>
      </w:pPr>
      <w:r w:rsidDel="00000000" w:rsidR="00000000" w:rsidRPr="00000000">
        <w:rPr>
          <w:rtl w:val="0"/>
        </w:rPr>
        <w:t xml:space="preserve">John Kindervag's advice to newcomers to ZT was excellent: Practice on something you don't mind messing up on before then turning your skills toward the protection of those things that need ZT the most, using the granular application of micro-perimeters. After that, the attention can broaden out to make sure that the workflow is optimized in an environment now safer and with a minimum of inconvenience for all users.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A">
      <w:pPr>
        <w:numPr>
          <w:ilvl w:val="0"/>
          <w:numId w:val="8"/>
        </w:numPr>
        <w:ind w:left="1320" w:right="600" w:hanging="360"/>
      </w:pPr>
      <w:hyperlink r:id="rId6">
        <w:r w:rsidDel="00000000" w:rsidR="00000000" w:rsidRPr="00000000">
          <w:rPr>
            <w:color w:val="1155cc"/>
            <w:u w:val="single"/>
            <w:rtl w:val="0"/>
          </w:rPr>
          <w:t xml:space="preserve">https://sec549.com/id118</w:t>
        </w:r>
      </w:hyperlink>
      <w:r w:rsidDel="00000000" w:rsidR="00000000" w:rsidRPr="00000000">
        <w:rPr>
          <w:rtl w:val="0"/>
        </w:rPr>
      </w:r>
    </w:p>
    <w:p w:rsidR="00000000" w:rsidDel="00000000" w:rsidP="00000000" w:rsidRDefault="00000000" w:rsidRPr="00000000" w14:paraId="0000002B">
      <w:pPr>
        <w:pStyle w:val="Heading3"/>
        <w:rPr/>
      </w:pPr>
      <w:bookmarkStart w:colFirst="0" w:colLast="0" w:name="_1avs18k0836q" w:id="5"/>
      <w:bookmarkEnd w:id="5"/>
      <w:r w:rsidDel="00000000" w:rsidR="00000000" w:rsidRPr="00000000">
        <w:rPr>
          <w:rtl w:val="0"/>
        </w:rPr>
        <w:t xml:space="preserve">(B2) p.18 -- Beyondcorp | Beyondcorp: Access Control Engine (ACE)</w:t>
      </w:r>
    </w:p>
    <w:p w:rsidR="00000000" w:rsidDel="00000000" w:rsidP="00000000" w:rsidRDefault="00000000" w:rsidRPr="00000000" w14:paraId="0000002C">
      <w:pPr>
        <w:ind w:left="600" w:right="600" w:firstLine="0"/>
        <w:rPr/>
      </w:pPr>
      <w:r w:rsidDel="00000000" w:rsidR="00000000" w:rsidRPr="00000000">
        <w:rPr>
          <w:rtl w:val="0"/>
        </w:rPr>
        <w:t xml:space="preserve">Architecting Trust in an Untrusted Network • Threat models should assume the internal network is just as hostile as our perimeter network. • What capabilities do your ZT systems need? – Ability to push least privilege to the lowest level – Visibility into the baseline of traffic flows – Define policy by describing like groups of entities. Examples include: • Users: With particular group memberships, such as admins • Devices: Which are fully patched • Services: Such as publicly facing web services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E">
      <w:pPr>
        <w:ind w:left="600" w:right="600" w:firstLine="0"/>
        <w:rPr/>
      </w:pPr>
      <w:r w:rsidDel="00000000" w:rsidR="00000000" w:rsidRPr="00000000">
        <w:rPr>
          <w:rtl w:val="0"/>
        </w:rPr>
        <w:t xml:space="preserve">In the subsequent slides, we will take a look at published patterns from the likes of Google and PagerDuty, which showcase how they designed Zero Trust for both an end user and for service-to-service (east-west) traffic. Commonality Among ZT Design Patterns You will see the following themes shine through in both the upcoming Google and PagerDuty case studies. 1. Required is the ability to enforce least privilege to the lowest level possible. This often manifests as a policy enforcement engine that should be separate from policy definition. It is through good policy definition that policy enforcement can be calculated. 2. Needed is an accurate account of traffic flows. All communication in a ZT system is expected and accounted for as such; knowing who is communicating with whom is imperative in order to craft effective policy. 3. Policy needs to be attached to the workload. Policy should not be described in the form of network primitives (IP address or network address ranges) but rather should describe symbolic types of workloads. For example, you might reference "all web servers" or "all app servers" in policy, but you wouldn't define policy against a specific IP address. Each of these design facets can help systems adhere to the ZT principle that all internal networks are just as hostile as external or perimeter networks. The resulting ZT architectures are often considered "perimeterless," where trust is not established at a central choke point for large swaths of IP space but rather is enforced on a per-service or per-application basis.</w:t>
      </w:r>
    </w:p>
    <w:p w:rsidR="00000000" w:rsidDel="00000000" w:rsidP="00000000" w:rsidRDefault="00000000" w:rsidRPr="00000000" w14:paraId="0000002F">
      <w:pPr>
        <w:pStyle w:val="Heading3"/>
        <w:rPr/>
      </w:pPr>
      <w:bookmarkStart w:colFirst="0" w:colLast="0" w:name="_d9lwuvrl309u" w:id="6"/>
      <w:bookmarkEnd w:id="6"/>
      <w:r w:rsidDel="00000000" w:rsidR="00000000" w:rsidRPr="00000000">
        <w:rPr>
          <w:rtl w:val="0"/>
        </w:rPr>
        <w:t xml:space="preserve">(B2) p.21 -- Beyondprod | Beyondprod: Zero Trust For Workloads/services</w:t>
      </w:r>
    </w:p>
    <w:p w:rsidR="00000000" w:rsidDel="00000000" w:rsidP="00000000" w:rsidRDefault="00000000" w:rsidRPr="00000000" w14:paraId="00000030">
      <w:pPr>
        <w:ind w:left="600" w:right="600" w:firstLine="0"/>
        <w:rPr/>
      </w:pPr>
      <w:r w:rsidDel="00000000" w:rsidR="00000000" w:rsidRPr="00000000">
        <w:rPr>
          <w:rtl w:val="0"/>
        </w:rPr>
        <w:t xml:space="preserve">The PagerDuty Approach to Zero Trust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2">
      <w:pPr>
        <w:numPr>
          <w:ilvl w:val="0"/>
          <w:numId w:val="3"/>
        </w:numPr>
        <w:ind w:left="1320" w:right="600" w:hanging="360"/>
      </w:pPr>
      <w:r w:rsidDel="00000000" w:rsidR="00000000" w:rsidRPr="00000000">
        <w:rPr>
          <w:rtl w:val="0"/>
        </w:rPr>
        <w:t xml:space="preserve">Client requests a service</w:t>
      </w:r>
    </w:p>
    <w:p w:rsidR="00000000" w:rsidDel="00000000" w:rsidP="00000000" w:rsidRDefault="00000000" w:rsidRPr="00000000" w14:paraId="00000033">
      <w:pPr>
        <w:numPr>
          <w:ilvl w:val="0"/>
          <w:numId w:val="3"/>
        </w:numPr>
        <w:ind w:left="1320" w:right="600" w:hanging="360"/>
      </w:pPr>
      <w:r w:rsidDel="00000000" w:rsidR="00000000" w:rsidRPr="00000000">
        <w:rPr>
          <w:rtl w:val="0"/>
        </w:rPr>
        <w:t xml:space="preserve">Control plane dynamically configures service to allow access</w:t>
      </w:r>
    </w:p>
    <w:p w:rsidR="00000000" w:rsidDel="00000000" w:rsidP="00000000" w:rsidRDefault="00000000" w:rsidRPr="00000000" w14:paraId="00000034">
      <w:pPr>
        <w:numPr>
          <w:ilvl w:val="0"/>
          <w:numId w:val="3"/>
        </w:numPr>
        <w:ind w:left="1320" w:right="600" w:hanging="360"/>
      </w:pPr>
      <w:r w:rsidDel="00000000" w:rsidR="00000000" w:rsidRPr="00000000">
        <w:rPr>
          <w:rtl w:val="0"/>
        </w:rPr>
        <w:t xml:space="preserve">Control plane issues a one-time use token</w:t>
      </w:r>
    </w:p>
    <w:p w:rsidR="00000000" w:rsidDel="00000000" w:rsidP="00000000" w:rsidRDefault="00000000" w:rsidRPr="00000000" w14:paraId="00000035">
      <w:pPr>
        <w:numPr>
          <w:ilvl w:val="0"/>
          <w:numId w:val="3"/>
        </w:numPr>
        <w:ind w:left="1320" w:right="600" w:hanging="360"/>
      </w:pPr>
      <w:r w:rsidDel="00000000" w:rsidR="00000000" w:rsidRPr="00000000">
        <w:rPr>
          <w:rtl w:val="0"/>
        </w:rPr>
        <w:t xml:space="preserve">Client accesses the service directly, authenticating with the control plane provided token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7">
      <w:pPr>
        <w:ind w:left="600" w:right="600" w:firstLine="0"/>
        <w:rPr/>
      </w:pPr>
      <w:r w:rsidDel="00000000" w:rsidR="00000000" w:rsidRPr="00000000">
        <w:rPr>
          <w:rtl w:val="0"/>
        </w:rPr>
        <w:t xml:space="preserve">The Zero Trust control plane component was a concept introduced in the PagerDuty Zero Trust Architecture and described at length in the book Zero Trust Networks: Building Secure Systems in Untrusted Networks.1 In that book, the control plane component is described as "... an authoritative source, or trusted third party, is granted the ability to authenticate, authorize, and coordinate access in real time, based on a variety of inputs." The Zero Trust control plane has the responsibility to: • Communicate with the trust engine and determine if a request is authorized • Dynamically configure services to accept authorized traffic • Coordinate the establishment of encrypted tunnels between the client and service. Service-Level Authentication Let's review how an end user successfully accesses a service in the PagerDuty ZT Model.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9">
      <w:pPr>
        <w:numPr>
          <w:ilvl w:val="0"/>
          <w:numId w:val="7"/>
        </w:numPr>
        <w:ind w:left="1320" w:right="600" w:hanging="360"/>
      </w:pPr>
      <w:r w:rsidDel="00000000" w:rsidR="00000000" w:rsidRPr="00000000">
        <w:rPr>
          <w:rtl w:val="0"/>
        </w:rPr>
        <w:t xml:space="preserve">Client makes request to access a service: With this request comes the user data, device data, and activity data, which is fed into the trust engine to determine authorization context.</w:t>
      </w:r>
    </w:p>
    <w:p w:rsidR="00000000" w:rsidDel="00000000" w:rsidP="00000000" w:rsidRDefault="00000000" w:rsidRPr="00000000" w14:paraId="0000003A">
      <w:pPr>
        <w:numPr>
          <w:ilvl w:val="0"/>
          <w:numId w:val="7"/>
        </w:numPr>
        <w:ind w:left="1320" w:right="600" w:hanging="360"/>
      </w:pPr>
      <w:r w:rsidDel="00000000" w:rsidR="00000000" w:rsidRPr="00000000">
        <w:rPr>
          <w:rtl w:val="0"/>
        </w:rPr>
        <w:t xml:space="preserve">Control plane intercepts request from client to service: Determines if they are allowed to make the request, given the policy, and dynamically configures the service to allow access.</w:t>
      </w:r>
    </w:p>
    <w:p w:rsidR="00000000" w:rsidDel="00000000" w:rsidP="00000000" w:rsidRDefault="00000000" w:rsidRPr="00000000" w14:paraId="0000003B">
      <w:pPr>
        <w:numPr>
          <w:ilvl w:val="0"/>
          <w:numId w:val="7"/>
        </w:numPr>
        <w:ind w:left="1320" w:right="600" w:hanging="360"/>
      </w:pPr>
      <w:r w:rsidDel="00000000" w:rsidR="00000000" w:rsidRPr="00000000">
        <w:rPr>
          <w:rtl w:val="0"/>
        </w:rPr>
        <w:t xml:space="preserve">Control plane generates a one-time use access token: This token is passed back to the client and allows the client to access the requested service.</w:t>
      </w:r>
    </w:p>
    <w:p w:rsidR="00000000" w:rsidDel="00000000" w:rsidP="00000000" w:rsidRDefault="00000000" w:rsidRPr="00000000" w14:paraId="0000003C">
      <w:pPr>
        <w:numPr>
          <w:ilvl w:val="0"/>
          <w:numId w:val="7"/>
        </w:numPr>
        <w:ind w:left="1320" w:right="600" w:hanging="360"/>
      </w:pPr>
      <w:r w:rsidDel="00000000" w:rsidR="00000000" w:rsidRPr="00000000">
        <w:rPr>
          <w:rtl w:val="0"/>
        </w:rPr>
        <w:t xml:space="preserve">Client accesses the service directly: Their request is authorized with the control-plane provided access token. You'll notice the key difference between the ZT control plane and Google's access proxy is where it sits in relation to the back-end services. In the Google BeyondCorp pattern, the access proxy sits inline; end users do not communicate with services directly. In contrast, the PagerDuty pattern has the concept of a control plane that negotiates access, but users ultimately access services directly.</w:t>
      </w:r>
    </w:p>
    <w:p w:rsidR="00000000" w:rsidDel="00000000" w:rsidP="00000000" w:rsidRDefault="00000000" w:rsidRPr="00000000" w14:paraId="0000003D">
      <w:pPr>
        <w:numPr>
          <w:ilvl w:val="0"/>
          <w:numId w:val="7"/>
        </w:numPr>
        <w:ind w:left="1320" w:right="600" w:hanging="360"/>
      </w:pPr>
      <w:hyperlink r:id="rId7">
        <w:r w:rsidDel="00000000" w:rsidR="00000000" w:rsidRPr="00000000">
          <w:rPr>
            <w:color w:val="1155cc"/>
            <w:u w:val="single"/>
            <w:rtl w:val="0"/>
          </w:rPr>
          <w:t xml:space="preserve">https://sec549.com/id192</w:t>
        </w:r>
      </w:hyperlink>
      <w:r w:rsidDel="00000000" w:rsidR="00000000" w:rsidRPr="00000000">
        <w:rPr>
          <w:rtl w:val="0"/>
        </w:rPr>
      </w:r>
    </w:p>
    <w:p w:rsidR="00000000" w:rsidDel="00000000" w:rsidP="00000000" w:rsidRDefault="00000000" w:rsidRPr="00000000" w14:paraId="0000003E">
      <w:pPr>
        <w:pStyle w:val="Heading3"/>
        <w:rPr/>
      </w:pPr>
      <w:bookmarkStart w:colFirst="0" w:colLast="0" w:name="_efs2qmmusfy" w:id="7"/>
      <w:bookmarkEnd w:id="7"/>
      <w:r w:rsidDel="00000000" w:rsidR="00000000" w:rsidRPr="00000000">
        <w:rPr>
          <w:rtl w:val="0"/>
        </w:rPr>
        <w:t xml:space="preserve">(B2) p.23 -- Beyondprod | Beyondprod: Core Characteristics</w:t>
      </w:r>
    </w:p>
    <w:p w:rsidR="00000000" w:rsidDel="00000000" w:rsidP="00000000" w:rsidRDefault="00000000" w:rsidRPr="00000000" w14:paraId="0000003F">
      <w:pPr>
        <w:ind w:left="600" w:right="600" w:firstLine="0"/>
        <w:rPr/>
      </w:pPr>
      <w:r w:rsidDel="00000000" w:rsidR="00000000" w:rsidRPr="00000000">
        <w:rPr>
          <w:rtl w:val="0"/>
        </w:rPr>
        <w:t xml:space="preserve">BeyondProd: Zero Trust for Workloads/Services Image reference: </w:t>
      </w:r>
      <w:hyperlink r:id="rId8">
        <w:r w:rsidDel="00000000" w:rsidR="00000000" w:rsidRPr="00000000">
          <w:rPr>
            <w:color w:val="1155cc"/>
            <w:u w:val="single"/>
            <w:rtl w:val="0"/>
          </w:rPr>
          <w:t xml:space="preserve">https://cloud.google.com/security/beyondprod</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1">
      <w:pPr>
        <w:ind w:left="600" w:right="600" w:firstLine="0"/>
        <w:rPr/>
      </w:pPr>
      <w:r w:rsidDel="00000000" w:rsidR="00000000" w:rsidRPr="00000000">
        <w:rPr>
          <w:rtl w:val="0"/>
        </w:rPr>
        <w:t xml:space="preserve">Five years after its technical paper "BeyondCorp" was released, Google released a follow-up technical paper, outlining how to manage its cloud-native architecture with a cloud-native security strategy called BeyondProd.1 Where BeyondCorp was all about defining a new access model for users, BeyondProd outlined how to rethink access to the microservice. By this time, it had become clear that the perimeter-based security models were insufficient–not just for user access but for service-to- service access as well. BeyondProd became a way for developers and security professionals to design cloud-native security controls for their own production networks, just as Google did when it transformed its applications and moved away from large, monolithic apps to distributed microservices. In order to understand the need for BeyondProd, we have to discuss the cloud-native movement as a whole. This is represented most concisely as microservice architecture. By isolating aspects of a larger service or application, any potential damage to one piece of the whole would not necessarily affect any other piece. These were deployed as containerized applications and utilized a system of orchestration that could allow for scalability and easier manageability. The perimeter-security model that had already been established as insufficient for user access was certainly that for systems built in the style of cloud-native architecture. Google's now-containerized infrastructure was designed with built-in redundancy so that small failures or breaches never disable much, if any, of the whole. The containers were managed using an internal container orchestration system they called Borg, the predecessor to Kubernetes–capable of deploying billions of containers weekly. In the BeyondProd technical paper, Google indicated that utilizing cloud-native security meant that services would necessarily need to be treated in similar ways that users were managed in BeyondCorp, particularly knowing that microservices may be run anywhere–in public clouds, within a firewalled data center, or from within private clouds, and will need the same level of security wherever deployed. Microservices are now so dynamically deployed in such heterogeneous hosts that trust in a service must</w:t>
      </w:r>
    </w:p>
    <w:p w:rsidR="00000000" w:rsidDel="00000000" w:rsidP="00000000" w:rsidRDefault="00000000" w:rsidRPr="00000000" w14:paraId="00000042">
      <w:pPr>
        <w:pStyle w:val="Heading3"/>
        <w:rPr/>
      </w:pPr>
      <w:bookmarkStart w:colFirst="0" w:colLast="0" w:name="_nd1gw23zenr6" w:id="8"/>
      <w:bookmarkEnd w:id="8"/>
      <w:r w:rsidDel="00000000" w:rsidR="00000000" w:rsidRPr="00000000">
        <w:rPr>
          <w:rtl w:val="0"/>
        </w:rPr>
        <w:t xml:space="preserve">(B2) p.31 -- Beyondcorp</w:t>
      </w:r>
    </w:p>
    <w:p w:rsidR="00000000" w:rsidDel="00000000" w:rsidP="00000000" w:rsidRDefault="00000000" w:rsidRPr="00000000" w14:paraId="00000043">
      <w:pPr>
        <w:ind w:left="600" w:right="600" w:firstLine="0"/>
        <w:rPr/>
      </w:pPr>
      <w:r w:rsidDel="00000000" w:rsidR="00000000" w:rsidRPr="00000000">
        <w:rPr>
          <w:rtl w:val="0"/>
        </w:rPr>
        <w:t xml:space="preserve">Conditional Access Conditional Access: Frequent evaluation and enforcement of access based on additional context above and beyond simple username and password • Functionality typically found within an identity provider (IdP), not a cloud service provider (CSP) • Often used to define MFA requirements given privilege level, network location, and risk level. • Some Conditional Access capability is available in most IdPs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5">
      <w:pPr>
        <w:ind w:left="600" w:right="600" w:firstLine="0"/>
        <w:rPr/>
      </w:pPr>
      <w:r w:rsidDel="00000000" w:rsidR="00000000" w:rsidRPr="00000000">
        <w:rPr>
          <w:rtl w:val="0"/>
        </w:rPr>
        <w:t xml:space="preserve">Conditional Access can be used in the context of authentication with an identity provider. In this scenario, Conditional Access policies can be defined to allow or block access to certain resources based on specific conditions that are evaluated at the time of authentication. These conditions can include things like the user's location, the device they are using, the time of day, or the presence of certain security controls on their device, such as encryption or antivirus software. For example, an identity provider might define a policy that requires multi-factor authentication for users accessing sensitive resources from outside the corporate network, or that blocks access to certain resources if the user's device is not up to date with the latest security patches. Conditional Access policies like these can help to ensure that only authorized users with trusted devices can access sensitive resources, while also allowing for more streamlined access for users who meet certain criteria. In the context of identity and access management, Conditional Access is an important security feature that can help to prevent unauthorized access to sensitive resources while also providing a more flexible and user-friendly authentication experience. By defining policies that take into account a wide range of contextual factors, identity providers can ensure that only the right users with the right devices can access the resources they need to do their jobs.</w:t>
      </w:r>
    </w:p>
    <w:p w:rsidR="00000000" w:rsidDel="00000000" w:rsidP="00000000" w:rsidRDefault="00000000" w:rsidRPr="00000000" w14:paraId="00000046">
      <w:pPr>
        <w:pStyle w:val="Heading3"/>
        <w:rPr/>
      </w:pPr>
      <w:bookmarkStart w:colFirst="0" w:colLast="0" w:name="_yz0xvgt1j4b4" w:id="9"/>
      <w:bookmarkEnd w:id="9"/>
      <w:r w:rsidDel="00000000" w:rsidR="00000000" w:rsidRPr="00000000">
        <w:rPr>
          <w:rtl w:val="0"/>
        </w:rPr>
        <w:t xml:space="preserve">(B2) p.33 -- Beyondcorp Enterprise | Beyondcorp Enterprise: Access Protection</w:t>
      </w:r>
    </w:p>
    <w:p w:rsidR="00000000" w:rsidDel="00000000" w:rsidP="00000000" w:rsidRDefault="00000000" w:rsidRPr="00000000" w14:paraId="00000047">
      <w:pPr>
        <w:ind w:left="600" w:right="600" w:firstLine="0"/>
        <w:rPr/>
      </w:pPr>
      <w:r w:rsidDel="00000000" w:rsidR="00000000" w:rsidRPr="00000000">
        <w:rPr>
          <w:rtl w:val="0"/>
        </w:rPr>
        <w:t xml:space="preserve">Conditional Access Comparison (1) BeyondCorp Enterprise • Access levels (policies) based on user/group, location, device type (Premium), device compliance (third- party integration) • Access levels can be nested • Custom access level via the Common Expression Language • Continuously evaluated via Identity Aware Proxy • Conditional IAM policies grant access based on the resulting access level AWS Verified Access / SCP • Provides conditional access to applications hosted in AWS • Does not offer conditional access to the AWS console or APIs, but basic conditional access can be implemented through service control policies (SCP) • AWS Verified Access supports user identity (via Identity Center or OpenID Connect) and device-based (via browser extension or a third-party integration) context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9">
      <w:pPr>
        <w:ind w:left="600" w:right="600" w:firstLine="0"/>
        <w:rPr/>
      </w:pPr>
      <w:r w:rsidDel="00000000" w:rsidR="00000000" w:rsidRPr="00000000">
        <w:rPr>
          <w:rtl w:val="0"/>
        </w:rPr>
        <w:t xml:space="preserve">Google's BeyondCorp Enterprise access protection1 provides robust conditional access capabilities that are continuously validated by the identity-aware proxy that all traffic destined for protected services is required to pass through for evaluation. AWS Verified Access2 provides similar functionality for applications hosted in AWS. These offerings provide the most real-time assessment of access attributes due to all traffic passing through the service for evaluation.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B">
      <w:pPr>
        <w:numPr>
          <w:ilvl w:val="0"/>
          <w:numId w:val="5"/>
        </w:numPr>
        <w:ind w:left="1320" w:right="600" w:hanging="360"/>
      </w:pPr>
      <w:hyperlink r:id="rId9">
        <w:r w:rsidDel="00000000" w:rsidR="00000000" w:rsidRPr="00000000">
          <w:rPr>
            <w:color w:val="1155cc"/>
            <w:u w:val="single"/>
            <w:rtl w:val="0"/>
          </w:rPr>
          <w:t xml:space="preserve">https://sec549.com/id547</w:t>
        </w:r>
      </w:hyperlink>
      <w:r w:rsidDel="00000000" w:rsidR="00000000" w:rsidRPr="00000000">
        <w:rPr>
          <w:rtl w:val="0"/>
        </w:rPr>
      </w:r>
    </w:p>
    <w:p w:rsidR="00000000" w:rsidDel="00000000" w:rsidP="00000000" w:rsidRDefault="00000000" w:rsidRPr="00000000" w14:paraId="0000004C">
      <w:pPr>
        <w:numPr>
          <w:ilvl w:val="0"/>
          <w:numId w:val="5"/>
        </w:numPr>
        <w:ind w:left="1320" w:right="600" w:hanging="360"/>
      </w:pPr>
      <w:hyperlink r:id="rId10">
        <w:r w:rsidDel="00000000" w:rsidR="00000000" w:rsidRPr="00000000">
          <w:rPr>
            <w:color w:val="1155cc"/>
            <w:u w:val="single"/>
            <w:rtl w:val="0"/>
          </w:rPr>
          <w:t xml:space="preserve">https://sec549.com/id607</w:t>
        </w:r>
      </w:hyperlink>
      <w:r w:rsidDel="00000000" w:rsidR="00000000" w:rsidRPr="00000000">
        <w:rPr>
          <w:rtl w:val="0"/>
        </w:rPr>
      </w:r>
    </w:p>
    <w:p w:rsidR="00000000" w:rsidDel="00000000" w:rsidP="00000000" w:rsidRDefault="00000000" w:rsidRPr="00000000" w14:paraId="0000004D">
      <w:pPr>
        <w:pStyle w:val="Heading3"/>
        <w:rPr/>
      </w:pPr>
      <w:bookmarkStart w:colFirst="0" w:colLast="0" w:name="_niwxsx8r7p2t" w:id="10"/>
      <w:bookmarkEnd w:id="10"/>
      <w:r w:rsidDel="00000000" w:rsidR="00000000" w:rsidRPr="00000000">
        <w:rPr>
          <w:rtl w:val="0"/>
        </w:rPr>
        <w:t xml:space="preserve">(B2) p.34 -- Beyondcorp | Beyondcorp: Access Context Manager | Beyondcorp: Access Context Manager – Basic Policy</w:t>
      </w:r>
    </w:p>
    <w:p w:rsidR="00000000" w:rsidDel="00000000" w:rsidP="00000000" w:rsidRDefault="00000000" w:rsidRPr="00000000" w14:paraId="0000004E">
      <w:pPr>
        <w:ind w:left="600" w:right="600" w:firstLine="0"/>
        <w:rPr/>
      </w:pPr>
      <w:r w:rsidDel="00000000" w:rsidR="00000000" w:rsidRPr="00000000">
        <w:rPr>
          <w:rtl w:val="0"/>
        </w:rPr>
        <w:t xml:space="preserve">Conditional Access Comparison (2) Okta / Auth0 • Integration with application already using an alternative conditional access can cause problems (e.g., MS Entra ID + Okta) • Okta policies based on user/group, location, authentication method, behavior, risk, device compliance (third-party integration) • Require specific authentication flow or MFA • Modify session attributes • See notes for Auth0 differences Microsoft Entra • Requires Microsoft Entra ID • Limited support for on-premises AD requires Entra hybrid join and AD FS • Policies based on user/group, application, device platform, location, client application, device, and risk • Enforce MFA, device/client app compliance, password change, or application protection profile; block request; or modify session expiration/properties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0">
      <w:pPr>
        <w:ind w:left="600" w:right="600" w:firstLine="0"/>
        <w:rPr/>
      </w:pPr>
      <w:r w:rsidDel="00000000" w:rsidR="00000000" w:rsidRPr="00000000">
        <w:rPr>
          <w:rtl w:val="0"/>
        </w:rPr>
        <w:t xml:space="preserve">While BeyondCorp Enterprise and AWS Verified Access are inline for all requests, the other providers like Okta Sign-On Policies,1 Auth0 Attack Protection2 and Adaptive MFA,3 and Microsoft Entra Conditional Access4 rely on expiration of the OIDC access token for revalidation of access. It is important to understand how often those access tokens require renewal. Microsoft Entra Conditional Access has a new feature called Continuous Access Evaluation that will allow applications relying on Microsoft Entra ID Conditional Access to force a re-evaluation of policies based on it seeing updates to critical contextual information used by a policy. We will explore BeyondCorp Enterprise, AWS Verified Access, and Microsoft Entra ID Conditional Access in this section. We will also take a look at some more basic conditional access that can be implemented in AWS via service control policies for access to the AWS console and APIs.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2">
      <w:pPr>
        <w:numPr>
          <w:ilvl w:val="0"/>
          <w:numId w:val="9"/>
        </w:numPr>
        <w:ind w:left="1320" w:right="600" w:hanging="360"/>
      </w:pPr>
      <w:hyperlink r:id="rId11">
        <w:r w:rsidDel="00000000" w:rsidR="00000000" w:rsidRPr="00000000">
          <w:rPr>
            <w:color w:val="1155cc"/>
            <w:u w:val="single"/>
            <w:rtl w:val="0"/>
          </w:rPr>
          <w:t xml:space="preserve">https://sec549.com/id548</w:t>
        </w:r>
      </w:hyperlink>
      <w:r w:rsidDel="00000000" w:rsidR="00000000" w:rsidRPr="00000000">
        <w:rPr>
          <w:rtl w:val="0"/>
        </w:rPr>
      </w:r>
    </w:p>
    <w:p w:rsidR="00000000" w:rsidDel="00000000" w:rsidP="00000000" w:rsidRDefault="00000000" w:rsidRPr="00000000" w14:paraId="00000053">
      <w:pPr>
        <w:numPr>
          <w:ilvl w:val="0"/>
          <w:numId w:val="9"/>
        </w:numPr>
        <w:ind w:left="1320" w:right="600" w:hanging="360"/>
      </w:pPr>
      <w:hyperlink r:id="rId12">
        <w:r w:rsidDel="00000000" w:rsidR="00000000" w:rsidRPr="00000000">
          <w:rPr>
            <w:color w:val="1155cc"/>
            <w:u w:val="single"/>
            <w:rtl w:val="0"/>
          </w:rPr>
          <w:t xml:space="preserve">https://sec549.com/id549</w:t>
        </w:r>
      </w:hyperlink>
      <w:r w:rsidDel="00000000" w:rsidR="00000000" w:rsidRPr="00000000">
        <w:rPr>
          <w:rtl w:val="0"/>
        </w:rPr>
      </w:r>
    </w:p>
    <w:p w:rsidR="00000000" w:rsidDel="00000000" w:rsidP="00000000" w:rsidRDefault="00000000" w:rsidRPr="00000000" w14:paraId="00000054">
      <w:pPr>
        <w:numPr>
          <w:ilvl w:val="0"/>
          <w:numId w:val="9"/>
        </w:numPr>
        <w:ind w:left="1320" w:right="600" w:hanging="360"/>
      </w:pPr>
      <w:hyperlink r:id="rId13">
        <w:r w:rsidDel="00000000" w:rsidR="00000000" w:rsidRPr="00000000">
          <w:rPr>
            <w:color w:val="1155cc"/>
            <w:u w:val="single"/>
            <w:rtl w:val="0"/>
          </w:rPr>
          <w:t xml:space="preserve">https://sec549.com/id550</w:t>
        </w:r>
      </w:hyperlink>
      <w:r w:rsidDel="00000000" w:rsidR="00000000" w:rsidRPr="00000000">
        <w:rPr>
          <w:rtl w:val="0"/>
        </w:rPr>
      </w:r>
    </w:p>
    <w:p w:rsidR="00000000" w:rsidDel="00000000" w:rsidP="00000000" w:rsidRDefault="00000000" w:rsidRPr="00000000" w14:paraId="00000055">
      <w:pPr>
        <w:numPr>
          <w:ilvl w:val="0"/>
          <w:numId w:val="9"/>
        </w:numPr>
        <w:ind w:left="1320" w:right="600" w:hanging="360"/>
      </w:pPr>
      <w:hyperlink r:id="rId14">
        <w:r w:rsidDel="00000000" w:rsidR="00000000" w:rsidRPr="00000000">
          <w:rPr>
            <w:color w:val="1155cc"/>
            <w:u w:val="single"/>
            <w:rtl w:val="0"/>
          </w:rPr>
          <w:t xml:space="preserve">https://sec549.com/id551</w:t>
        </w:r>
      </w:hyperlink>
      <w:r w:rsidDel="00000000" w:rsidR="00000000" w:rsidRPr="00000000">
        <w:rPr>
          <w:rtl w:val="0"/>
        </w:rPr>
      </w:r>
    </w:p>
    <w:p w:rsidR="00000000" w:rsidDel="00000000" w:rsidP="00000000" w:rsidRDefault="00000000" w:rsidRPr="00000000" w14:paraId="00000056">
      <w:pPr>
        <w:pStyle w:val="Heading3"/>
        <w:rPr/>
      </w:pPr>
      <w:bookmarkStart w:colFirst="0" w:colLast="0" w:name="_nqz3zo9pd2jr" w:id="11"/>
      <w:bookmarkEnd w:id="11"/>
      <w:r w:rsidDel="00000000" w:rsidR="00000000" w:rsidRPr="00000000">
        <w:rPr>
          <w:rtl w:val="0"/>
        </w:rPr>
        <w:t xml:space="preserve">(B2) p.35 -- Beyondcorp | Beyondcorp: Access Context Manager | Beyondcorp: Access Context Manager – Nested Policy</w:t>
      </w:r>
    </w:p>
    <w:p w:rsidR="00000000" w:rsidDel="00000000" w:rsidP="00000000" w:rsidRDefault="00000000" w:rsidRPr="00000000" w14:paraId="00000057">
      <w:pPr>
        <w:ind w:left="600" w:right="600" w:firstLine="0"/>
        <w:rPr/>
      </w:pPr>
      <w:r w:rsidDel="00000000" w:rsidR="00000000" w:rsidRPr="00000000">
        <w:rPr>
          <w:rtl w:val="0"/>
        </w:rPr>
        <w:t xml:space="preserve">Google BeyondCorp Enterprise: Access Protection Based on the BeyondCorp security model, BeyondCorp Enterprise is an approach that utilizes a variety of Google Cloud offerings to enforce granular access control based on a user's identity and the context of the request. • Since BeyondCorp Enterprise deals with authentication, certain settings (e.g., Endpoint Verification, Data Protection) are defined in the Google Admin Console • Access levels (policies) are set in the Access Context Manager – Basic Access Levels can be set in the console using IP subnets, Regions, Principals, Device Policy, and other Access Levels (nesting conditions) and Custom Access Levels can be set using Advanced Mode and the Common Expression Language (CEL) • Authorization, however, is handled by the Identity Aware Proxy via conditional IAM policies where roles are assigned to resources with a condition that is set to one or more Access Levels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9">
      <w:pPr>
        <w:ind w:left="600" w:right="600" w:firstLine="0"/>
        <w:rPr/>
      </w:pPr>
      <w:r w:rsidDel="00000000" w:rsidR="00000000" w:rsidRPr="00000000">
        <w:rPr>
          <w:rtl w:val="0"/>
        </w:rPr>
        <w:t xml:space="preserve">BeyondCorp Enterprise access protection features and settings are split between Google Workspaces or Cloud Identity and the Google Cloud console. If customers need features like Endpoint Verification and Data Protection, these are managed in the Google Admin console, where user and group administration is handled for both cloud and SaaS products. The rest of the settings, including the identity-aware proxy, access levels, and conditional IAM policy, are defined in the cloud console. While basic access levels can be defined via the GUI, the advanced mode settings allow the use of the CEL to check other attributes that are not available in the console. Advanced mode can be particularly valuable for integrations with third- party products like Microsoft Intune for device information and compliance details.</w:t>
      </w:r>
    </w:p>
    <w:p w:rsidR="00000000" w:rsidDel="00000000" w:rsidP="00000000" w:rsidRDefault="00000000" w:rsidRPr="00000000" w14:paraId="0000005A">
      <w:pPr>
        <w:pStyle w:val="Heading3"/>
        <w:rPr/>
      </w:pPr>
      <w:bookmarkStart w:colFirst="0" w:colLast="0" w:name="_8fsivu54fs2i" w:id="12"/>
      <w:bookmarkEnd w:id="12"/>
      <w:r w:rsidDel="00000000" w:rsidR="00000000" w:rsidRPr="00000000">
        <w:rPr>
          <w:rtl w:val="0"/>
        </w:rPr>
        <w:t xml:space="preserve">(B2) p.36 -- Beyondcorp | Beyondcorp: Access Context Manager | Beyondcorp: Access Context Manager – Device Policy</w:t>
      </w:r>
    </w:p>
    <w:p w:rsidR="00000000" w:rsidDel="00000000" w:rsidP="00000000" w:rsidRDefault="00000000" w:rsidRPr="00000000" w14:paraId="0000005B">
      <w:pPr>
        <w:ind w:left="600" w:right="600" w:firstLine="0"/>
        <w:rPr/>
      </w:pPr>
      <w:r w:rsidDel="00000000" w:rsidR="00000000" w:rsidRPr="00000000">
        <w:rPr>
          <w:rtl w:val="0"/>
        </w:rPr>
        <w:t xml:space="preserve">BeyondCorp: Access Context Manager – Basic Policy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D">
      <w:pPr>
        <w:ind w:left="600" w:right="600" w:firstLine="0"/>
        <w:rPr/>
      </w:pPr>
      <w:r w:rsidDel="00000000" w:rsidR="00000000" w:rsidRPr="00000000">
        <w:rPr>
          <w:rtl w:val="0"/>
        </w:rPr>
        <w:t xml:space="preserve">This is an example of a simple, basic policy or access level that only allows access from a single country. This can be used on its own or nested with other policies to create more access levels. Then, combined with a conditional IAM policy, it can grant or restrict access to certain roles and their corresponding services.</w:t>
      </w:r>
    </w:p>
    <w:p w:rsidR="00000000" w:rsidDel="00000000" w:rsidP="00000000" w:rsidRDefault="00000000" w:rsidRPr="00000000" w14:paraId="0000005E">
      <w:pPr>
        <w:pStyle w:val="Heading3"/>
        <w:rPr/>
      </w:pPr>
      <w:bookmarkStart w:colFirst="0" w:colLast="0" w:name="_s3fgnqboa6dw" w:id="13"/>
      <w:bookmarkEnd w:id="13"/>
      <w:r w:rsidDel="00000000" w:rsidR="00000000" w:rsidRPr="00000000">
        <w:rPr>
          <w:rtl w:val="0"/>
        </w:rPr>
        <w:t xml:space="preserve">(B2) p.37 -- Beyondcorp | Beyondcorp: Access Context Manager | Beyondcorp: Access Context Manager – Advanced Policy</w:t>
      </w:r>
    </w:p>
    <w:p w:rsidR="00000000" w:rsidDel="00000000" w:rsidP="00000000" w:rsidRDefault="00000000" w:rsidRPr="00000000" w14:paraId="0000005F">
      <w:pPr>
        <w:ind w:left="600" w:right="600" w:firstLine="0"/>
        <w:rPr/>
      </w:pPr>
      <w:r w:rsidDel="00000000" w:rsidR="00000000" w:rsidRPr="00000000">
        <w:rPr>
          <w:rtl w:val="0"/>
        </w:rPr>
        <w:t xml:space="preserve">BeyondCorp: Access Context Manager – Nested Policy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1">
      <w:pPr>
        <w:ind w:left="600" w:right="600" w:firstLine="0"/>
        <w:rPr/>
      </w:pPr>
      <w:r w:rsidDel="00000000" w:rsidR="00000000" w:rsidRPr="00000000">
        <w:rPr>
          <w:rtl w:val="0"/>
        </w:rPr>
        <w:t xml:space="preserve">This additional policy takes the previous policy as an input and adds in filtering by IP subnet. Nesting policies are a way to ensure that certain broader requirements are included without have to create many conditional statements to account for the different less broad levels that might need to be created for users or groups.</w:t>
      </w:r>
    </w:p>
    <w:p w:rsidR="00000000" w:rsidDel="00000000" w:rsidP="00000000" w:rsidRDefault="00000000" w:rsidRPr="00000000" w14:paraId="00000062">
      <w:pPr>
        <w:pStyle w:val="Heading3"/>
        <w:rPr/>
      </w:pPr>
      <w:bookmarkStart w:colFirst="0" w:colLast="0" w:name="_820479tgu76v" w:id="14"/>
      <w:bookmarkEnd w:id="14"/>
      <w:r w:rsidDel="00000000" w:rsidR="00000000" w:rsidRPr="00000000">
        <w:rPr>
          <w:rtl w:val="0"/>
        </w:rPr>
        <w:t xml:space="preserve">(B2) p.38 -- Beyondcorp | Beyondcorp: Identity Aware Proxy</w:t>
      </w:r>
    </w:p>
    <w:p w:rsidR="00000000" w:rsidDel="00000000" w:rsidP="00000000" w:rsidRDefault="00000000" w:rsidRPr="00000000" w14:paraId="00000063">
      <w:pPr>
        <w:ind w:left="600" w:right="600" w:firstLine="0"/>
        <w:rPr/>
      </w:pPr>
      <w:r w:rsidDel="00000000" w:rsidR="00000000" w:rsidRPr="00000000">
        <w:rPr>
          <w:rtl w:val="0"/>
        </w:rPr>
        <w:t xml:space="preserve">BeyondCorp: Access Context Manager – Device Policy • Available Device Policy Options: – Check to make sure screen lock is enabled – Require admin approval for new devices – Require a corporate-owned and registered device – Ensure encryption is enabled – Ensure operating systems are supported versions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5">
      <w:pPr>
        <w:ind w:left="600" w:right="600" w:firstLine="0"/>
        <w:rPr/>
      </w:pPr>
      <w:r w:rsidDel="00000000" w:rsidR="00000000" w:rsidRPr="00000000">
        <w:rPr>
          <w:rtl w:val="0"/>
        </w:rPr>
        <w:t xml:space="preserve">Device policy is a premium feature that can provide additional filtering capabilities based on attributes of the user agent or the device the user is connecting from when accessing protected services through the identity-aware proxy. This type of policy relies on Endpoint Verification,1 which is enabled in the Google Admin console. Endpoint verification requires users to use the Chrome browser and a specific extension to gather details about the device, like whether or not it is encrypted, owned by the company, uses screen lock, or has a current operating system. It can also integrate with Microsoft Intune and CrowdStrike Falcon Zero Trust Assessment (ZTA)2 to gather more detailed device compliance information.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7">
      <w:pPr>
        <w:numPr>
          <w:ilvl w:val="0"/>
          <w:numId w:val="1"/>
        </w:numPr>
        <w:ind w:left="1320" w:right="600" w:hanging="360"/>
      </w:pPr>
      <w:hyperlink r:id="rId15">
        <w:r w:rsidDel="00000000" w:rsidR="00000000" w:rsidRPr="00000000">
          <w:rPr>
            <w:color w:val="1155cc"/>
            <w:u w:val="single"/>
            <w:rtl w:val="0"/>
          </w:rPr>
          <w:t xml:space="preserve">https://sec549.com/id552</w:t>
        </w:r>
      </w:hyperlink>
      <w:r w:rsidDel="00000000" w:rsidR="00000000" w:rsidRPr="00000000">
        <w:rPr>
          <w:rtl w:val="0"/>
        </w:rPr>
      </w:r>
    </w:p>
    <w:p w:rsidR="00000000" w:rsidDel="00000000" w:rsidP="00000000" w:rsidRDefault="00000000" w:rsidRPr="00000000" w14:paraId="00000068">
      <w:pPr>
        <w:numPr>
          <w:ilvl w:val="0"/>
          <w:numId w:val="1"/>
        </w:numPr>
        <w:ind w:left="1320" w:right="600" w:hanging="360"/>
      </w:pPr>
      <w:hyperlink r:id="rId16">
        <w:r w:rsidDel="00000000" w:rsidR="00000000" w:rsidRPr="00000000">
          <w:rPr>
            <w:color w:val="1155cc"/>
            <w:u w:val="single"/>
            <w:rtl w:val="0"/>
          </w:rPr>
          <w:t xml:space="preserve">https://sec549.com/id553</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rPr/>
      </w:pPr>
      <w:bookmarkStart w:colFirst="0" w:colLast="0" w:name="_k37gbm3ekkcn" w:id="15"/>
      <w:bookmarkEnd w:id="15"/>
      <w:r w:rsidDel="00000000" w:rsidR="00000000" w:rsidRPr="00000000">
        <w:rPr>
          <w:rtl w:val="0"/>
        </w:rPr>
        <w:t xml:space="preserve">Book 3 -- Network Security &amp; Segmentation</w:t>
      </w:r>
    </w:p>
    <w:p w:rsidR="00000000" w:rsidDel="00000000" w:rsidP="00000000" w:rsidRDefault="00000000" w:rsidRPr="00000000" w14:paraId="0000006C">
      <w:pPr>
        <w:pStyle w:val="Heading3"/>
        <w:rPr/>
      </w:pPr>
      <w:bookmarkStart w:colFirst="0" w:colLast="0" w:name="_h2txrml4vd3" w:id="16"/>
      <w:bookmarkEnd w:id="16"/>
      <w:r w:rsidDel="00000000" w:rsidR="00000000" w:rsidRPr="00000000">
        <w:rPr>
          <w:rtl w:val="0"/>
        </w:rPr>
        <w:t xml:space="preserve">(B3) p.134 -- Beyondcorp</w:t>
      </w:r>
    </w:p>
    <w:p w:rsidR="00000000" w:rsidDel="00000000" w:rsidP="00000000" w:rsidRDefault="00000000" w:rsidRPr="00000000" w14:paraId="0000006D">
      <w:pPr>
        <w:ind w:left="600" w:right="600" w:firstLine="0"/>
        <w:rPr/>
      </w:pPr>
      <w:r w:rsidDel="00000000" w:rsidR="00000000" w:rsidRPr="00000000">
        <w:rPr>
          <w:rtl w:val="0"/>
        </w:rPr>
        <w:t xml:space="preserve">AWS VPC Gateway Endpoints AWS VPC gateway endpoints provide connectivity specifically for S3 and DynamoDB: • These gateways allow traffic to reach S3 and DynamoDB without the need for an Internet or NAT gateway or other intermediary devices. • Updates to DNS are handled automatically by AWS. • Gateway endpoints consist of route table entries for the destination (prefix list) and target (endpoint ID) are automatically added to the route tables. • Resource-based policy can be applied to gateway endpoints, restricting who can access the S3 Bucket or DynamoDB Instance • Gateway endpoint cannot be associated with security groups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F">
      <w:pPr>
        <w:ind w:left="600" w:right="600" w:firstLine="0"/>
        <w:rPr/>
      </w:pPr>
      <w:r w:rsidDel="00000000" w:rsidR="00000000" w:rsidRPr="00000000">
        <w:rPr>
          <w:rtl w:val="0"/>
        </w:rPr>
        <w:t xml:space="preserve">VPC gateway endpoints1 solve the same problem interface endpoints do in that they both provide a mechanism for private resources to have access to public services. Gateway endpoints, however, go about solving this problem differently. A gateway endpoint is not assigned an ENI within your VPC; rather, it is a route in a private subnet used to access either a public S3 Bucket or DynamoDB. Rather than routing outbound traffic through a NAT gateway or providing network connectivity via an internet gateway, you can use a gateway endpoint to allow your private EC2 instances to access public S3 or DynamoDB. Because your egress traffic is not transiting through an intermediary appliance, gateway endpoints are provided to AWS customers at no cost. Network-Based Controls Security groups cannot be applied to gateway endpoints in the same manner as with interface endpoints. However, EC2 instances must allow outbound traffic to the S3 or DynamoDB service for them to be allowed to call those services via a gateway endpoint. The only network consideration with gateway endpoints is routing. With gateway endpoints, route tables must be configured to direct traffic destined for either S3 or DynamoDB to the gateway endpoint. Identity-Based Controls In upcoming slides, we will cover the resource-based policies that can be applied to gateway endpoints in depth, regulating access to the underlying service.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1">
      <w:pPr>
        <w:numPr>
          <w:ilvl w:val="0"/>
          <w:numId w:val="4"/>
        </w:numPr>
        <w:ind w:left="1320" w:right="600" w:hanging="360"/>
      </w:pPr>
      <w:hyperlink r:id="rId17">
        <w:r w:rsidDel="00000000" w:rsidR="00000000" w:rsidRPr="00000000">
          <w:rPr>
            <w:color w:val="1155cc"/>
            <w:u w:val="single"/>
            <w:rtl w:val="0"/>
          </w:rPr>
          <w:t xml:space="preserve">https://sec549.com/id149</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rPr/>
      </w:pPr>
      <w:bookmarkStart w:colFirst="0" w:colLast="0" w:name="_z7qr00d2tr8m" w:id="17"/>
      <w:bookmarkEnd w:id="17"/>
      <w:r w:rsidDel="00000000" w:rsidR="00000000" w:rsidRPr="00000000">
        <w:rPr>
          <w:rtl w:val="0"/>
        </w:rPr>
        <w:t xml:space="preserve">Review Checklist</w:t>
      </w:r>
    </w:p>
    <w:p w:rsidR="00000000" w:rsidDel="00000000" w:rsidP="00000000" w:rsidRDefault="00000000" w:rsidRPr="00000000" w14:paraId="00000075">
      <w:pPr>
        <w:numPr>
          <w:ilvl w:val="0"/>
          <w:numId w:val="6"/>
        </w:numPr>
        <w:ind w:left="720" w:hanging="360"/>
      </w:pPr>
      <w:r w:rsidDel="00000000" w:rsidR="00000000" w:rsidRPr="00000000">
        <w:rPr>
          <w:rtl w:val="0"/>
        </w:rPr>
        <w:t xml:space="preserve">Beyondcorp</w:t>
      </w:r>
    </w:p>
    <w:p w:rsidR="00000000" w:rsidDel="00000000" w:rsidP="00000000" w:rsidRDefault="00000000" w:rsidRPr="00000000" w14:paraId="00000076">
      <w:pPr>
        <w:numPr>
          <w:ilvl w:val="0"/>
          <w:numId w:val="6"/>
        </w:numPr>
        <w:ind w:left="720" w:hanging="360"/>
      </w:pPr>
      <w:r w:rsidDel="00000000" w:rsidR="00000000" w:rsidRPr="00000000">
        <w:rPr>
          <w:rtl w:val="0"/>
        </w:rPr>
        <w:t xml:space="preserve">Beyondcorp Enterprise</w:t>
      </w:r>
    </w:p>
    <w:p w:rsidR="00000000" w:rsidDel="00000000" w:rsidP="00000000" w:rsidRDefault="00000000" w:rsidRPr="00000000" w14:paraId="00000077">
      <w:pPr>
        <w:numPr>
          <w:ilvl w:val="0"/>
          <w:numId w:val="6"/>
        </w:numPr>
        <w:ind w:left="720" w:hanging="360"/>
      </w:pPr>
      <w:r w:rsidDel="00000000" w:rsidR="00000000" w:rsidRPr="00000000">
        <w:rPr>
          <w:rtl w:val="0"/>
        </w:rPr>
        <w:t xml:space="preserve">Beyondcorp Enterprise: Access Protection</w:t>
      </w:r>
    </w:p>
    <w:p w:rsidR="00000000" w:rsidDel="00000000" w:rsidP="00000000" w:rsidRDefault="00000000" w:rsidRPr="00000000" w14:paraId="00000078">
      <w:pPr>
        <w:numPr>
          <w:ilvl w:val="0"/>
          <w:numId w:val="6"/>
        </w:numPr>
        <w:ind w:left="720" w:hanging="360"/>
      </w:pPr>
      <w:r w:rsidDel="00000000" w:rsidR="00000000" w:rsidRPr="00000000">
        <w:rPr>
          <w:rtl w:val="0"/>
        </w:rPr>
        <w:t xml:space="preserve">Beyondcorp: Access Context Manager</w:t>
      </w:r>
    </w:p>
    <w:p w:rsidR="00000000" w:rsidDel="00000000" w:rsidP="00000000" w:rsidRDefault="00000000" w:rsidRPr="00000000" w14:paraId="00000079">
      <w:pPr>
        <w:numPr>
          <w:ilvl w:val="0"/>
          <w:numId w:val="6"/>
        </w:numPr>
        <w:ind w:left="720" w:hanging="360"/>
      </w:pPr>
      <w:r w:rsidDel="00000000" w:rsidR="00000000" w:rsidRPr="00000000">
        <w:rPr>
          <w:rtl w:val="0"/>
        </w:rPr>
        <w:t xml:space="preserve">Beyondcorp: Access Context Manager – Advanced Policy</w:t>
      </w:r>
    </w:p>
    <w:p w:rsidR="00000000" w:rsidDel="00000000" w:rsidP="00000000" w:rsidRDefault="00000000" w:rsidRPr="00000000" w14:paraId="0000007A">
      <w:pPr>
        <w:numPr>
          <w:ilvl w:val="0"/>
          <w:numId w:val="6"/>
        </w:numPr>
        <w:ind w:left="720" w:hanging="360"/>
      </w:pPr>
      <w:r w:rsidDel="00000000" w:rsidR="00000000" w:rsidRPr="00000000">
        <w:rPr>
          <w:rtl w:val="0"/>
        </w:rPr>
        <w:t xml:space="preserve">Beyondcorp: Access Context Manager – Basic Policy</w:t>
      </w:r>
    </w:p>
    <w:p w:rsidR="00000000" w:rsidDel="00000000" w:rsidP="00000000" w:rsidRDefault="00000000" w:rsidRPr="00000000" w14:paraId="0000007B">
      <w:pPr>
        <w:numPr>
          <w:ilvl w:val="0"/>
          <w:numId w:val="6"/>
        </w:numPr>
        <w:ind w:left="720" w:hanging="360"/>
      </w:pPr>
      <w:r w:rsidDel="00000000" w:rsidR="00000000" w:rsidRPr="00000000">
        <w:rPr>
          <w:rtl w:val="0"/>
        </w:rPr>
        <w:t xml:space="preserve">Beyondcorp: Access Context Manager – Device Policy</w:t>
      </w:r>
    </w:p>
    <w:p w:rsidR="00000000" w:rsidDel="00000000" w:rsidP="00000000" w:rsidRDefault="00000000" w:rsidRPr="00000000" w14:paraId="0000007C">
      <w:pPr>
        <w:numPr>
          <w:ilvl w:val="0"/>
          <w:numId w:val="6"/>
        </w:numPr>
        <w:ind w:left="720" w:hanging="360"/>
      </w:pPr>
      <w:r w:rsidDel="00000000" w:rsidR="00000000" w:rsidRPr="00000000">
        <w:rPr>
          <w:rtl w:val="0"/>
        </w:rPr>
        <w:t xml:space="preserve">Beyondcorp: Access Context Manager – Nested Policy</w:t>
      </w:r>
    </w:p>
    <w:p w:rsidR="00000000" w:rsidDel="00000000" w:rsidP="00000000" w:rsidRDefault="00000000" w:rsidRPr="00000000" w14:paraId="0000007D">
      <w:pPr>
        <w:numPr>
          <w:ilvl w:val="0"/>
          <w:numId w:val="6"/>
        </w:numPr>
        <w:ind w:left="720" w:hanging="360"/>
      </w:pPr>
      <w:r w:rsidDel="00000000" w:rsidR="00000000" w:rsidRPr="00000000">
        <w:rPr>
          <w:rtl w:val="0"/>
        </w:rPr>
        <w:t xml:space="preserve">Beyondcorp: Access Control Engine (ACE)</w:t>
      </w:r>
    </w:p>
    <w:p w:rsidR="00000000" w:rsidDel="00000000" w:rsidP="00000000" w:rsidRDefault="00000000" w:rsidRPr="00000000" w14:paraId="0000007E">
      <w:pPr>
        <w:numPr>
          <w:ilvl w:val="0"/>
          <w:numId w:val="6"/>
        </w:numPr>
        <w:ind w:left="720" w:hanging="360"/>
      </w:pPr>
      <w:r w:rsidDel="00000000" w:rsidR="00000000" w:rsidRPr="00000000">
        <w:rPr>
          <w:rtl w:val="0"/>
        </w:rPr>
        <w:t xml:space="preserve">Beyondcorp: Identity Aware Proxy</w:t>
      </w:r>
    </w:p>
    <w:p w:rsidR="00000000" w:rsidDel="00000000" w:rsidP="00000000" w:rsidRDefault="00000000" w:rsidRPr="00000000" w14:paraId="0000007F">
      <w:pPr>
        <w:numPr>
          <w:ilvl w:val="0"/>
          <w:numId w:val="6"/>
        </w:numPr>
        <w:ind w:left="720" w:hanging="360"/>
      </w:pPr>
      <w:r w:rsidDel="00000000" w:rsidR="00000000" w:rsidRPr="00000000">
        <w:rPr>
          <w:rtl w:val="0"/>
        </w:rPr>
        <w:t xml:space="preserve">Beyondcorp: Zero Trust For The User</w:t>
      </w:r>
    </w:p>
    <w:p w:rsidR="00000000" w:rsidDel="00000000" w:rsidP="00000000" w:rsidRDefault="00000000" w:rsidRPr="00000000" w14:paraId="00000080">
      <w:pPr>
        <w:numPr>
          <w:ilvl w:val="0"/>
          <w:numId w:val="6"/>
        </w:numPr>
        <w:ind w:left="720" w:hanging="360"/>
      </w:pPr>
      <w:r w:rsidDel="00000000" w:rsidR="00000000" w:rsidRPr="00000000">
        <w:rPr>
          <w:rtl w:val="0"/>
        </w:rPr>
        <w:t xml:space="preserve">Beyondprod</w:t>
      </w:r>
    </w:p>
    <w:p w:rsidR="00000000" w:rsidDel="00000000" w:rsidP="00000000" w:rsidRDefault="00000000" w:rsidRPr="00000000" w14:paraId="00000081">
      <w:pPr>
        <w:numPr>
          <w:ilvl w:val="0"/>
          <w:numId w:val="6"/>
        </w:numPr>
        <w:ind w:left="720" w:hanging="360"/>
      </w:pPr>
      <w:r w:rsidDel="00000000" w:rsidR="00000000" w:rsidRPr="00000000">
        <w:rPr>
          <w:rtl w:val="0"/>
        </w:rPr>
        <w:t xml:space="preserve">Beyondprod: Core Characteristics</w:t>
      </w:r>
    </w:p>
    <w:p w:rsidR="00000000" w:rsidDel="00000000" w:rsidP="00000000" w:rsidRDefault="00000000" w:rsidRPr="00000000" w14:paraId="00000082">
      <w:pPr>
        <w:numPr>
          <w:ilvl w:val="0"/>
          <w:numId w:val="6"/>
        </w:numPr>
        <w:ind w:left="720" w:hanging="360"/>
      </w:pPr>
      <w:r w:rsidDel="00000000" w:rsidR="00000000" w:rsidRPr="00000000">
        <w:rPr>
          <w:rtl w:val="0"/>
        </w:rPr>
        <w:t xml:space="preserve">Beyondprod: Zero Trust For Workloads/services</w:t>
      </w:r>
    </w:p>
    <w:p w:rsidR="00000000" w:rsidDel="00000000" w:rsidP="00000000" w:rsidRDefault="00000000" w:rsidRPr="00000000" w14:paraId="0000008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sec549.com/id548" TargetMode="External"/><Relationship Id="rId10" Type="http://schemas.openxmlformats.org/officeDocument/2006/relationships/hyperlink" Target="https://sec549.com/id607" TargetMode="External"/><Relationship Id="rId13" Type="http://schemas.openxmlformats.org/officeDocument/2006/relationships/hyperlink" Target="https://sec549.com/id550" TargetMode="External"/><Relationship Id="rId12" Type="http://schemas.openxmlformats.org/officeDocument/2006/relationships/hyperlink" Target="https://sec549.com/id54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c549.com/id547" TargetMode="External"/><Relationship Id="rId15" Type="http://schemas.openxmlformats.org/officeDocument/2006/relationships/hyperlink" Target="https://sec549.com/id552" TargetMode="External"/><Relationship Id="rId14" Type="http://schemas.openxmlformats.org/officeDocument/2006/relationships/hyperlink" Target="https://sec549.com/id551" TargetMode="External"/><Relationship Id="rId17" Type="http://schemas.openxmlformats.org/officeDocument/2006/relationships/hyperlink" Target="https://sec549.com/id149" TargetMode="External"/><Relationship Id="rId16" Type="http://schemas.openxmlformats.org/officeDocument/2006/relationships/hyperlink" Target="https://sec549.com/id553" TargetMode="External"/><Relationship Id="rId5" Type="http://schemas.openxmlformats.org/officeDocument/2006/relationships/styles" Target="styles.xml"/><Relationship Id="rId6" Type="http://schemas.openxmlformats.org/officeDocument/2006/relationships/hyperlink" Target="https://sec549.com/id118" TargetMode="External"/><Relationship Id="rId7" Type="http://schemas.openxmlformats.org/officeDocument/2006/relationships/hyperlink" Target="https://sec549.com/id192" TargetMode="External"/><Relationship Id="rId8" Type="http://schemas.openxmlformats.org/officeDocument/2006/relationships/hyperlink" Target="https://cloud.google.com/security/beyondpro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