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WW3 outputs are typically given on grids in time steps specified by the configuration (e.g., hourly or 3-hourly) and can include spectral or integral variables describing wave states globally or regionally.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physics of the WW3 model incorporates source terms such as wind input, nonlinear wave-wave interactions, and dissipation processes, allowing for detailed physical wave state descriptions at every grid point and time step.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Here is a table summarizing common WAVEWATCH III (WW3) model output variables with their short names and descriptions:</w:t>
      </w:r>
    </w:p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69"/>
        <w:gridCol w:w="3008"/>
        <w:gridCol w:w="2647"/>
        <w:gridCol w:w="2814"/>
      </w:tblGrid>
      <w:tr>
        <w:trPr>
          <w:tblHeader w:val="true"/>
        </w:trPr>
        <w:tc>
          <w:tcPr>
            <w:tcW w:w="116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Short Name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Units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Comments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swh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Significant height of combined wind waves and swell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meters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Combined significant wave height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perpw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Primary wave mean period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seconds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Period of primary wave component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dirpw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Primary wave direction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Degree true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Direction from which primary wave comes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shww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Significant height of wind waves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meters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Wind-generated waves significant height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mpww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Mean period of wind waves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seconds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Period of wind wave component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wvdir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Direction of wind waves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Degree true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Direction from which wind waves come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ws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Wind speed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 s⁻¹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Wind speed at surface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wdir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Wind direction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Degree true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Wind blowing direction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shts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Significant height of total swell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meters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Combined swell wave significant height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mpts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Mean period of total swell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seconds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Period of total swell waves</w:t>
            </w:r>
          </w:p>
        </w:tc>
      </w:tr>
    </w:tbl>
    <w:p>
      <w:pPr>
        <w:pStyle w:val="BodyTex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1</Pages>
  <Words>202</Words>
  <Characters>1121</Characters>
  <CharactersWithSpaces>1275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2025-08-13T23:23:43Z</dcterms:created>
  <dc:creator/>
  <dc:description/>
  <dc:language>en-US</dc:language>
  <cp:lastModifiedBy/>
  <dcterms:modified xsi:type="dcterms:W3CDTF">2025-08-14T00:05:34Z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