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rFonts w:ascii="Times New Roman" w:cs="Times New Roman" w:eastAsia="Times New Roman" w:hAnsi="Times New Roman"/>
          <w:sz w:val="28"/>
          <w:szCs w:val="28"/>
        </w:rPr>
        <w:t xml:space="preserve">МИНИСТЕРСТВО НАУКИ И ВЫСШЕГО ОБРАЗОВАНИЯ РОССИЙСКОЙ ФЕДЕРАЦИИ</w:t>
      </w:r>
    </w:p>
    <w:p>
      <w:pPr>
        <w:spacing w:line="360"/>
        <w:jc w:val="center"/>
      </w:pPr>
      <w:r>
        <w:rPr>
          <w:rFonts w:ascii="Times New Roman" w:cs="Times New Roman" w:eastAsia="Times New Roman" w:hAnsi="Times New Roman"/>
          <w:sz w:val="28"/>
          <w:szCs w:val="28"/>
        </w:rPr>
        <w:t xml:space="preserve">[Полное наименование образовательной организации]</w:t>
      </w:r>
    </w:p>
    <w:p>
      <w:pPr>
        <w:spacing w:line="360"/>
        <w:jc w:val="center"/>
      </w:pPr>
      <w:r>
        <w:rPr>
          <w:rFonts w:ascii="Times New Roman" w:cs="Times New Roman" w:eastAsia="Times New Roman" w:hAnsi="Times New Roman"/>
          <w:sz w:val="28"/>
          <w:szCs w:val="28"/>
        </w:rPr>
        <w:t xml:space="preserve">[сокращённое наименование вуза]</w:t>
      </w:r>
    </w:p>
    <w:p>
      <w:pPr>
        <w:spacing w:line="360"/>
      </w:pPr>
    </w:p>
    <w:p>
      <w:pPr>
        <w:spacing w:line="360"/>
        <w:jc w:val="center"/>
      </w:pPr>
      <w:r>
        <w:rPr>
          <w:rFonts w:ascii="Times New Roman" w:cs="Times New Roman" w:eastAsia="Times New Roman" w:hAnsi="Times New Roman"/>
          <w:sz w:val="28"/>
          <w:szCs w:val="28"/>
        </w:rPr>
        <w:t xml:space="preserve">Кафедра [наименование кафедры]</w:t>
      </w:r>
    </w:p>
    <w:p>
      <w:pPr>
        <w:spacing w:line="360"/>
      </w:pPr>
    </w:p>
    <w:p>
      <w:pPr>
        <w:spacing w:line="360"/>
      </w:pPr>
    </w:p>
    <w:p>
      <w:pPr>
        <w:spacing w:line="360"/>
        <w:jc w:val="center"/>
      </w:pPr>
      <w:r>
        <w:rPr>
          <w:rFonts w:ascii="Times New Roman" w:cs="Times New Roman" w:eastAsia="Times New Roman" w:hAnsi="Times New Roman"/>
          <w:b/>
          <w:bCs/>
          <w:sz w:val="28"/>
          <w:szCs w:val="28"/>
        </w:rPr>
        <w:t xml:space="preserve">ОТЧЁТ</w:t>
      </w:r>
    </w:p>
    <w:p>
      <w:pPr>
        <w:spacing w:line="360"/>
        <w:jc w:val="center"/>
      </w:pPr>
      <w:r>
        <w:rPr>
          <w:rFonts w:ascii="Times New Roman" w:cs="Times New Roman" w:eastAsia="Times New Roman" w:hAnsi="Times New Roman"/>
          <w:sz w:val="28"/>
          <w:szCs w:val="28"/>
        </w:rPr>
        <w:t xml:space="preserve">по лабораторной работе № 3</w:t>
      </w:r>
    </w:p>
    <w:p>
      <w:pPr>
        <w:spacing w:line="360"/>
        <w:jc w:val="center"/>
      </w:pPr>
      <w:r>
        <w:rPr>
          <w:rFonts w:ascii="Times New Roman" w:cs="Times New Roman" w:eastAsia="Times New Roman" w:hAnsi="Times New Roman"/>
          <w:sz w:val="28"/>
          <w:szCs w:val="28"/>
        </w:rPr>
        <w:t xml:space="preserve">по дисциплине «[Наименование дисциплины]»</w:t>
      </w:r>
    </w:p>
    <w:p>
      <w:pPr>
        <w:spacing w:line="360"/>
      </w:pPr>
    </w:p>
    <w:p>
      <w:pPr>
        <w:spacing w:line="360"/>
        <w:jc w:val="center"/>
      </w:pPr>
      <w:r>
        <w:rPr>
          <w:rFonts w:ascii="Times New Roman" w:cs="Times New Roman" w:eastAsia="Times New Roman" w:hAnsi="Times New Roman"/>
          <w:sz w:val="28"/>
          <w:szCs w:val="28"/>
        </w:rPr>
        <w:t xml:space="preserve">на тему</w:t>
      </w:r>
    </w:p>
    <w:p>
      <w:pPr>
        <w:spacing w:line="360"/>
        <w:jc w:val="center"/>
      </w:pPr>
      <w:r>
        <w:rPr>
          <w:rFonts w:ascii="Times New Roman" w:cs="Times New Roman" w:eastAsia="Times New Roman" w:hAnsi="Times New Roman"/>
          <w:b/>
          <w:bCs/>
          <w:sz w:val="28"/>
          <w:szCs w:val="28"/>
        </w:rPr>
        <w:t xml:space="preserve">«ТЕСТИРОВАНИЕ, НАБЛЮДЕНИЕ ЗА РАБОТОЙ И ПОВЫШЕНИЕ</w:t>
      </w:r>
    </w:p>
    <w:p>
      <w:pPr>
        <w:spacing w:line="360"/>
        <w:jc w:val="center"/>
      </w:pPr>
      <w:r>
        <w:rPr>
          <w:rFonts w:ascii="Times New Roman" w:cs="Times New Roman" w:eastAsia="Times New Roman" w:hAnsi="Times New Roman"/>
          <w:b/>
          <w:bCs/>
          <w:sz w:val="28"/>
          <w:szCs w:val="28"/>
        </w:rPr>
        <w:t xml:space="preserve">ЭФФЕКТИВНОСТИ ПРОГРАММНОЙ СИСТЕМЫ»</w:t>
      </w:r>
    </w:p>
    <w:p>
      <w:pPr>
        <w:spacing w:line="360"/>
      </w:pPr>
    </w:p>
    <w:p>
      <w:pPr>
        <w:spacing w:line="360"/>
        <w:jc w:val="center"/>
      </w:pPr>
      <w:r>
        <w:rPr>
          <w:rFonts w:ascii="Times New Roman" w:cs="Times New Roman" w:eastAsia="Times New Roman" w:hAnsi="Times New Roman"/>
          <w:sz w:val="28"/>
          <w:szCs w:val="28"/>
        </w:rPr>
        <w:t xml:space="preserve">Вариант № 5 «Автостоянка»</w:t>
      </w:r>
    </w:p>
    <w:p>
      <w:pPr>
        <w:spacing w:line="360"/>
      </w:pPr>
    </w:p>
    <w:p>
      <w:pPr>
        <w:spacing w:line="360"/>
        <w:ind w:left="4820"/>
      </w:pPr>
      <w:r>
        <w:rPr>
          <w:rFonts w:ascii="Times New Roman" w:cs="Times New Roman" w:eastAsia="Times New Roman" w:hAnsi="Times New Roman"/>
          <w:sz w:val="28"/>
          <w:szCs w:val="28"/>
        </w:rPr>
        <w:t xml:space="preserve">Выполнил:</w:t>
      </w:r>
    </w:p>
    <w:p>
      <w:pPr>
        <w:spacing w:line="360"/>
        <w:ind w:left="4820"/>
      </w:pPr>
      <w:r>
        <w:rPr>
          <w:rFonts w:ascii="Times New Roman" w:cs="Times New Roman" w:eastAsia="Times New Roman" w:hAnsi="Times New Roman"/>
          <w:sz w:val="28"/>
          <w:szCs w:val="28"/>
        </w:rPr>
        <w:t xml:space="preserve">студент группы [номер группы]</w:t>
      </w:r>
    </w:p>
    <w:p>
      <w:pPr>
        <w:spacing w:line="360"/>
        <w:ind w:left="4820"/>
      </w:pPr>
      <w:r>
        <w:rPr>
          <w:rFonts w:ascii="Times New Roman" w:cs="Times New Roman" w:eastAsia="Times New Roman" w:hAnsi="Times New Roman"/>
          <w:sz w:val="28"/>
          <w:szCs w:val="28"/>
        </w:rPr>
        <w:t xml:space="preserve">[Фамилия И. О.] ______________</w:t>
      </w:r>
    </w:p>
    <w:p>
      <w:pPr>
        <w:spacing w:line="360"/>
        <w:ind w:left="4820"/>
      </w:pPr>
      <w:r>
        <w:rPr>
          <w:rFonts w:ascii="Times New Roman" w:cs="Times New Roman" w:eastAsia="Times New Roman" w:hAnsi="Times New Roman"/>
          <w:sz w:val="28"/>
          <w:szCs w:val="28"/>
        </w:rPr>
        <w:t xml:space="preserve"/>
      </w:r>
    </w:p>
    <w:p>
      <w:pPr>
        <w:spacing w:line="360"/>
        <w:ind w:left="4820"/>
      </w:pPr>
      <w:r>
        <w:rPr>
          <w:rFonts w:ascii="Times New Roman" w:cs="Times New Roman" w:eastAsia="Times New Roman" w:hAnsi="Times New Roman"/>
          <w:sz w:val="28"/>
          <w:szCs w:val="28"/>
        </w:rPr>
        <w:t xml:space="preserve">Проверил:</w:t>
      </w:r>
    </w:p>
    <w:p>
      <w:pPr>
        <w:spacing w:line="360"/>
        <w:ind w:left="4820"/>
      </w:pPr>
      <w:r>
        <w:rPr>
          <w:rFonts w:ascii="Times New Roman" w:cs="Times New Roman" w:eastAsia="Times New Roman" w:hAnsi="Times New Roman"/>
          <w:sz w:val="28"/>
          <w:szCs w:val="28"/>
        </w:rPr>
        <w:t xml:space="preserve">[должность, учёная степень]</w:t>
      </w:r>
    </w:p>
    <w:p>
      <w:pPr>
        <w:spacing w:line="360"/>
        <w:ind w:left="4820"/>
      </w:pPr>
      <w:r>
        <w:rPr>
          <w:rFonts w:ascii="Times New Roman" w:cs="Times New Roman" w:eastAsia="Times New Roman" w:hAnsi="Times New Roman"/>
          <w:sz w:val="28"/>
          <w:szCs w:val="28"/>
        </w:rPr>
        <w:t xml:space="preserve">[Фамилия И. О.] ______________</w:t>
      </w:r>
    </w:p>
    <w:p>
      <w:pPr>
        <w:spacing w:line="360"/>
      </w:pPr>
    </w:p>
    <w:p>
      <w:pPr>
        <w:spacing w:line="360"/>
      </w:pPr>
    </w:p>
    <w:p>
      <w:pPr>
        <w:spacing w:line="360"/>
        <w:jc w:val="center"/>
      </w:pPr>
      <w:r>
        <w:rPr>
          <w:rFonts w:ascii="Times New Roman" w:cs="Times New Roman" w:eastAsia="Times New Roman" w:hAnsi="Times New Roman"/>
          <w:sz w:val="28"/>
          <w:szCs w:val="28"/>
        </w:rPr>
        <w:t xml:space="preserve">[Город] 2026</w:t>
      </w:r>
    </w:p>
    <w:p>
      <w:pPr>
        <w:keepNext/>
        <w:pageBreakBefore/>
        <w:spacing w:after="240" w:before="0" w:line="360"/>
        <w:ind w:firstLine="709"/>
      </w:pPr>
      <w:r>
        <w:rPr>
          <w:rFonts w:ascii="Times New Roman" w:cs="Times New Roman" w:eastAsia="Times New Roman" w:hAnsi="Times New Roman"/>
          <w:b/>
          <w:bCs/>
          <w:sz w:val="28"/>
          <w:szCs w:val="28"/>
        </w:rPr>
        <w:t xml:space="preserve">1 Цель и задачи работы</w:t>
      </w:r>
    </w:p>
    <w:p>
      <w:pPr>
        <w:spacing w:after="0" w:before="0" w:line="360"/>
        <w:ind w:firstLine="709"/>
        <w:jc w:val="both"/>
      </w:pPr>
      <w:r>
        <w:rPr>
          <w:rFonts w:ascii="Times New Roman" w:cs="Times New Roman" w:eastAsia="Times New Roman" w:hAnsi="Times New Roman"/>
          <w:b/>
          <w:bCs/>
          <w:sz w:val="28"/>
          <w:szCs w:val="28"/>
        </w:rPr>
        <w:t xml:space="preserve">Цель работы: </w:t>
      </w:r>
      <w:r>
        <w:rPr>
          <w:rFonts w:ascii="Times New Roman" w:cs="Times New Roman" w:eastAsia="Times New Roman" w:hAnsi="Times New Roman"/>
          <w:sz w:val="28"/>
          <w:szCs w:val="28"/>
        </w:rPr>
        <w:t xml:space="preserve">проверить работоспособность прототипа АИС «Автостоянка», разработанного в лабораторной работе № 2, с помощью автоматизированных тестов; организовать наблюдение за работой приложения (журналы событий и метрики производительности); по результатам измерений выявить ограничения производительности и предложить меры по повышению эффективности и надёжности системы.</w:t>
      </w:r>
    </w:p>
    <w:p>
      <w:pPr>
        <w:spacing w:after="0" w:before="0" w:line="360"/>
        <w:ind w:firstLine="709"/>
        <w:jc w:val="both"/>
      </w:pPr>
      <w:r>
        <w:rPr>
          <w:rFonts w:ascii="Times New Roman" w:cs="Times New Roman" w:eastAsia="Times New Roman" w:hAnsi="Times New Roman"/>
          <w:sz w:val="28"/>
          <w:szCs w:val="28"/>
        </w:rPr>
        <w:t xml:space="preserve">Задачи работы:</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разработать модульные тесты для отдельных модулей и интеграционные тесты для проверки взаимодействия сервисов</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провести тестирование основных операций (создание, чтение, обновление, удаление), авторизации и ключевых бизнес-функций, зафиксировать результаты и найденные ошибки</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реализовать ведение журналов событий: запись данных, запросы к модулям, ошибки</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реализовать сбор метрик: время ответа, число одновременных запросов, объём потребляемой памяти, время запросов к базе данных</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провести нагрузочное тестирование при средней и пиковой нагрузке, определить наиболее загруженные участки</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оценить, какие части системы ограничивают производительность, и предложить меры по повышению пропускной способности и отказоустойчивости</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предложить способы резервного копирования, восстановления и проверки доступности компонентов</w:t>
      </w:r>
      <w:r>
        <w:rPr>
          <w:rFonts w:ascii="Times New Roman" w:cs="Times New Roman" w:eastAsia="Times New Roman" w:hAnsi="Times New Roman"/>
          <w:sz w:val="28"/>
          <w:szCs w:val="28"/>
        </w:rPr>
        <w:t xml:space="preserve">.</w:t>
      </w:r>
    </w:p>
    <w:p>
      <w:pPr>
        <w:keepNext/>
        <w:pageBreakBefore/>
        <w:spacing w:after="240" w:before="0" w:line="360"/>
        <w:ind w:firstLine="709"/>
      </w:pPr>
      <w:r>
        <w:rPr>
          <w:rFonts w:ascii="Times New Roman" w:cs="Times New Roman" w:eastAsia="Times New Roman" w:hAnsi="Times New Roman"/>
          <w:b/>
          <w:bCs/>
          <w:sz w:val="28"/>
          <w:szCs w:val="28"/>
        </w:rPr>
        <w:t xml:space="preserve">2 Краткая теория</w:t>
      </w:r>
    </w:p>
    <w:p>
      <w:pPr>
        <w:spacing w:after="0" w:before="0" w:line="360"/>
        <w:ind w:firstLine="709"/>
        <w:jc w:val="both"/>
      </w:pPr>
      <w:r>
        <w:rPr>
          <w:rFonts w:ascii="Times New Roman" w:cs="Times New Roman" w:eastAsia="Times New Roman" w:hAnsi="Times New Roman"/>
          <w:b/>
          <w:bCs/>
          <w:sz w:val="28"/>
          <w:szCs w:val="28"/>
        </w:rPr>
        <w:t xml:space="preserve">Модульное тестирование</w:t>
      </w:r>
      <w:r>
        <w:rPr>
          <w:rFonts w:ascii="Times New Roman" w:cs="Times New Roman" w:eastAsia="Times New Roman" w:hAnsi="Times New Roman"/>
          <w:sz w:val="28"/>
          <w:szCs w:val="28"/>
        </w:rPr>
        <w:t xml:space="preserve"> проверяет отдельный модуль (функцию, класс) в изоляции от окружения. Внешние зависимости – база данных, сеть, другие сервисы – заменяются </w:t>
      </w:r>
      <w:r>
        <w:rPr>
          <w:rFonts w:ascii="Times New Roman" w:cs="Times New Roman" w:eastAsia="Times New Roman" w:hAnsi="Times New Roman"/>
          <w:b/>
          <w:bCs/>
          <w:sz w:val="28"/>
          <w:szCs w:val="28"/>
        </w:rPr>
        <w:t xml:space="preserve">тестовыми двойниками</w:t>
      </w:r>
      <w:r>
        <w:rPr>
          <w:rFonts w:ascii="Times New Roman" w:cs="Times New Roman" w:eastAsia="Times New Roman" w:hAnsi="Times New Roman"/>
          <w:sz w:val="28"/>
          <w:szCs w:val="28"/>
        </w:rPr>
        <w:t xml:space="preserve"> (заглушками, stub/fake), поэтому модульные тесты выполняются быстро и не требуют развёрнутой системы. </w:t>
      </w:r>
      <w:r>
        <w:rPr>
          <w:rFonts w:ascii="Times New Roman" w:cs="Times New Roman" w:eastAsia="Times New Roman" w:hAnsi="Times New Roman"/>
          <w:b/>
          <w:bCs/>
          <w:sz w:val="28"/>
          <w:szCs w:val="28"/>
        </w:rPr>
        <w:t xml:space="preserve">Интеграционное тестирование</w:t>
      </w:r>
      <w:r>
        <w:rPr>
          <w:rFonts w:ascii="Times New Roman" w:cs="Times New Roman" w:eastAsia="Times New Roman" w:hAnsi="Times New Roman"/>
          <w:sz w:val="28"/>
          <w:szCs w:val="28"/>
        </w:rPr>
        <w:t xml:space="preserve"> проверяет взаимодействие нескольких модулей или сервисов в реальном окружении: с настоящей СУБД, сетью и протоколами. Согласно «пирамиде тестирования», модульных тестов должно быть больше, чем интеграционных: они дешевле и точнее указывают место ошибки.</w:t>
      </w:r>
    </w:p>
    <w:p>
      <w:pPr>
        <w:spacing w:after="0" w:before="0" w:line="360"/>
        <w:ind w:firstLine="709"/>
        <w:jc w:val="both"/>
      </w:pPr>
      <w:r>
        <w:rPr>
          <w:rFonts w:ascii="Times New Roman" w:cs="Times New Roman" w:eastAsia="Times New Roman" w:hAnsi="Times New Roman"/>
          <w:b/>
          <w:bCs/>
          <w:sz w:val="28"/>
          <w:szCs w:val="28"/>
        </w:rPr>
        <w:t xml:space="preserve">Покрытие кода</w:t>
      </w:r>
      <w:r>
        <w:rPr>
          <w:rFonts w:ascii="Times New Roman" w:cs="Times New Roman" w:eastAsia="Times New Roman" w:hAnsi="Times New Roman"/>
          <w:sz w:val="28"/>
          <w:szCs w:val="28"/>
        </w:rPr>
        <w:t xml:space="preserve"> – доля строк (ветвлений, функций), выполненных при прогоне тестов. Покрытие показывает, какой код не проверялся, но не гарантирует корректность проверенного.</w:t>
      </w:r>
    </w:p>
    <w:p>
      <w:pPr>
        <w:spacing w:after="0" w:before="0" w:line="360"/>
        <w:ind w:firstLine="709"/>
        <w:jc w:val="both"/>
      </w:pPr>
      <w:r>
        <w:rPr>
          <w:rFonts w:ascii="Times New Roman" w:cs="Times New Roman" w:eastAsia="Times New Roman" w:hAnsi="Times New Roman"/>
          <w:b/>
          <w:bCs/>
          <w:sz w:val="28"/>
          <w:szCs w:val="28"/>
        </w:rPr>
        <w:t xml:space="preserve">Журнал событий</w:t>
      </w:r>
      <w:r>
        <w:rPr>
          <w:rFonts w:ascii="Times New Roman" w:cs="Times New Roman" w:eastAsia="Times New Roman" w:hAnsi="Times New Roman"/>
          <w:sz w:val="28"/>
          <w:szCs w:val="28"/>
        </w:rPr>
        <w:t xml:space="preserve"> (лог) – последовательность записей о событиях в системе. </w:t>
      </w:r>
      <w:r>
        <w:rPr>
          <w:rFonts w:ascii="Times New Roman" w:cs="Times New Roman" w:eastAsia="Times New Roman" w:hAnsi="Times New Roman"/>
          <w:b/>
          <w:bCs/>
          <w:sz w:val="28"/>
          <w:szCs w:val="28"/>
        </w:rPr>
        <w:t xml:space="preserve">Структурированный журнал</w:t>
      </w:r>
      <w:r>
        <w:rPr>
          <w:rFonts w:ascii="Times New Roman" w:cs="Times New Roman" w:eastAsia="Times New Roman" w:hAnsi="Times New Roman"/>
          <w:sz w:val="28"/>
          <w:szCs w:val="28"/>
        </w:rPr>
        <w:t xml:space="preserve"> записывает каждое событие в машиночитаемом формате (например, одна строка JSON), что позволяет фильтровать и агрегировать записи. Для систем из нескольких сервисов используется </w:t>
      </w:r>
      <w:r>
        <w:rPr>
          <w:rFonts w:ascii="Times New Roman" w:cs="Times New Roman" w:eastAsia="Times New Roman" w:hAnsi="Times New Roman"/>
          <w:b/>
          <w:bCs/>
          <w:sz w:val="28"/>
          <w:szCs w:val="28"/>
        </w:rPr>
        <w:t xml:space="preserve">сквозной идентификатор запроса</w:t>
      </w:r>
      <w:r>
        <w:rPr>
          <w:rFonts w:ascii="Times New Roman" w:cs="Times New Roman" w:eastAsia="Times New Roman" w:hAnsi="Times New Roman"/>
          <w:sz w:val="28"/>
          <w:szCs w:val="28"/>
        </w:rPr>
        <w:t xml:space="preserve"> (correlation ID): он передаётся от сервиса к сервису в заголовке HTTP и позволяет собрать все записи, относящиеся к одному действию пользователя.</w:t>
      </w:r>
    </w:p>
    <w:p>
      <w:pPr>
        <w:spacing w:after="0" w:before="0" w:line="360"/>
        <w:ind w:firstLine="709"/>
        <w:jc w:val="both"/>
      </w:pPr>
      <w:r>
        <w:rPr>
          <w:rFonts w:ascii="Times New Roman" w:cs="Times New Roman" w:eastAsia="Times New Roman" w:hAnsi="Times New Roman"/>
          <w:b/>
          <w:bCs/>
          <w:sz w:val="28"/>
          <w:szCs w:val="28"/>
        </w:rPr>
        <w:t xml:space="preserve">Метрики</w:t>
      </w:r>
      <w:r>
        <w:rPr>
          <w:rFonts w:ascii="Times New Roman" w:cs="Times New Roman" w:eastAsia="Times New Roman" w:hAnsi="Times New Roman"/>
          <w:sz w:val="28"/>
          <w:szCs w:val="28"/>
        </w:rPr>
        <w:t xml:space="preserve"> – числовые показатели работы системы, собираемые во времени: время ответа, пропускная способность (запросов в секунду), число одновременно обрабатываемых запросов, объём памяти, загрузка процессора. Время ответа характеризуют </w:t>
      </w:r>
      <w:r>
        <w:rPr>
          <w:rFonts w:ascii="Times New Roman" w:cs="Times New Roman" w:eastAsia="Times New Roman" w:hAnsi="Times New Roman"/>
          <w:b/>
          <w:bCs/>
          <w:sz w:val="28"/>
          <w:szCs w:val="28"/>
        </w:rPr>
        <w:t xml:space="preserve">перцентилями</w:t>
      </w:r>
      <w:r>
        <w:rPr>
          <w:rFonts w:ascii="Times New Roman" w:cs="Times New Roman" w:eastAsia="Times New Roman" w:hAnsi="Times New Roman"/>
          <w:sz w:val="28"/>
          <w:szCs w:val="28"/>
        </w:rPr>
        <w:t xml:space="preserve">: p95 – значение, которое не превышают 95 % запросов. Среднее значение скрывает редкие, но долгие ответы, которые и ощущает пользователь, поэтому для требований и анализа используют p95 и p99.</w:t>
      </w:r>
    </w:p>
    <w:p>
      <w:pPr>
        <w:spacing w:after="0" w:before="0" w:line="360"/>
        <w:ind w:firstLine="709"/>
        <w:jc w:val="both"/>
      </w:pPr>
      <w:r>
        <w:rPr>
          <w:rFonts w:ascii="Times New Roman" w:cs="Times New Roman" w:eastAsia="Times New Roman" w:hAnsi="Times New Roman"/>
          <w:b/>
          <w:bCs/>
          <w:sz w:val="28"/>
          <w:szCs w:val="28"/>
        </w:rPr>
        <w:t xml:space="preserve">Нагрузочное тестирование</w:t>
      </w:r>
      <w:r>
        <w:rPr>
          <w:rFonts w:ascii="Times New Roman" w:cs="Times New Roman" w:eastAsia="Times New Roman" w:hAnsi="Times New Roman"/>
          <w:sz w:val="28"/>
          <w:szCs w:val="28"/>
        </w:rPr>
        <w:t xml:space="preserve"> – измерение показателей системы при заданном числе одновременных пользователей. Различают среднюю (типовую) нагрузку и пиковую – максимальную ожидаемую или предельную. </w:t>
      </w:r>
      <w:r>
        <w:rPr>
          <w:rFonts w:ascii="Times New Roman" w:cs="Times New Roman" w:eastAsia="Times New Roman" w:hAnsi="Times New Roman"/>
          <w:b/>
          <w:bCs/>
          <w:sz w:val="28"/>
          <w:szCs w:val="28"/>
        </w:rPr>
        <w:t xml:space="preserve">Узкое место</w:t>
      </w:r>
      <w:r>
        <w:rPr>
          <w:rFonts w:ascii="Times New Roman" w:cs="Times New Roman" w:eastAsia="Times New Roman" w:hAnsi="Times New Roman"/>
          <w:sz w:val="28"/>
          <w:szCs w:val="28"/>
        </w:rPr>
        <w:t xml:space="preserve"> – компонент, производительность которого ограничивает систему в целом; ускорение остальных компонентов не увеличивает пропускную способность, пока не устранено узкое место.</w:t>
      </w:r>
    </w:p>
    <w:p>
      <w:pPr>
        <w:spacing w:after="0" w:before="0" w:line="360"/>
        <w:ind w:firstLine="709"/>
        <w:jc w:val="both"/>
      </w:pPr>
      <w:r>
        <w:rPr>
          <w:rFonts w:ascii="Times New Roman" w:cs="Times New Roman" w:eastAsia="Times New Roman" w:hAnsi="Times New Roman"/>
          <w:b/>
          <w:bCs/>
          <w:sz w:val="28"/>
          <w:szCs w:val="28"/>
        </w:rPr>
        <w:t xml:space="preserve">Масштабирование</w:t>
      </w:r>
      <w:r>
        <w:rPr>
          <w:rFonts w:ascii="Times New Roman" w:cs="Times New Roman" w:eastAsia="Times New Roman" w:hAnsi="Times New Roman"/>
          <w:sz w:val="28"/>
          <w:szCs w:val="28"/>
        </w:rPr>
        <w:t xml:space="preserve"> бывает вертикальным (увеличение ресурсов одного узла) и горизонтальным (запуск нескольких экземпляров компонента с распределением нагрузки между ними). Горизонтальное масштабирование возможно для компонентов, не хранящих состояние между запросами.</w:t>
      </w:r>
    </w:p>
    <w:p>
      <w:pPr>
        <w:spacing w:after="0" w:before="0" w:line="360"/>
        <w:ind w:firstLine="709"/>
        <w:jc w:val="both"/>
      </w:pPr>
      <w:r>
        <w:rPr>
          <w:rFonts w:ascii="Times New Roman" w:cs="Times New Roman" w:eastAsia="Times New Roman" w:hAnsi="Times New Roman"/>
          <w:b/>
          <w:bCs/>
          <w:sz w:val="28"/>
          <w:szCs w:val="28"/>
        </w:rPr>
        <w:t xml:space="preserve">Надёжность</w:t>
      </w:r>
      <w:r>
        <w:rPr>
          <w:rFonts w:ascii="Times New Roman" w:cs="Times New Roman" w:eastAsia="Times New Roman" w:hAnsi="Times New Roman"/>
          <w:sz w:val="28"/>
          <w:szCs w:val="28"/>
        </w:rPr>
        <w:t xml:space="preserve"> обеспечивается резервированием компонентов, резервным копированием данных и проверками доступности. Для резервного копирования задают </w:t>
      </w:r>
      <w:r>
        <w:rPr>
          <w:rFonts w:ascii="Times New Roman" w:cs="Times New Roman" w:eastAsia="Times New Roman" w:hAnsi="Times New Roman"/>
          <w:b/>
          <w:bCs/>
          <w:sz w:val="28"/>
          <w:szCs w:val="28"/>
        </w:rPr>
        <w:t xml:space="preserve">RPO</w:t>
      </w:r>
      <w:r>
        <w:rPr>
          <w:rFonts w:ascii="Times New Roman" w:cs="Times New Roman" w:eastAsia="Times New Roman" w:hAnsi="Times New Roman"/>
          <w:sz w:val="28"/>
          <w:szCs w:val="28"/>
        </w:rPr>
        <w:t xml:space="preserve"> (Recovery Point Objective – допустимая потеря данных) и </w:t>
      </w:r>
      <w:r>
        <w:rPr>
          <w:rFonts w:ascii="Times New Roman" w:cs="Times New Roman" w:eastAsia="Times New Roman" w:hAnsi="Times New Roman"/>
          <w:b/>
          <w:bCs/>
          <w:sz w:val="28"/>
          <w:szCs w:val="28"/>
        </w:rPr>
        <w:t xml:space="preserve">RTO</w:t>
      </w:r>
      <w:r>
        <w:rPr>
          <w:rFonts w:ascii="Times New Roman" w:cs="Times New Roman" w:eastAsia="Times New Roman" w:hAnsi="Times New Roman"/>
          <w:sz w:val="28"/>
          <w:szCs w:val="28"/>
        </w:rPr>
        <w:t xml:space="preserve"> (Recovery Time Objective – допустимое время восстановления). Проверки доступности делят на проверку </w:t>
      </w:r>
      <w:r>
        <w:rPr>
          <w:rFonts w:ascii="Times New Roman" w:cs="Times New Roman" w:eastAsia="Times New Roman" w:hAnsi="Times New Roman"/>
          <w:b/>
          <w:bCs/>
          <w:sz w:val="28"/>
          <w:szCs w:val="28"/>
        </w:rPr>
        <w:t xml:space="preserve">живости</w:t>
      </w:r>
      <w:r>
        <w:rPr>
          <w:rFonts w:ascii="Times New Roman" w:cs="Times New Roman" w:eastAsia="Times New Roman" w:hAnsi="Times New Roman"/>
          <w:sz w:val="28"/>
          <w:szCs w:val="28"/>
        </w:rPr>
        <w:t xml:space="preserve"> (liveness: процесс отвечает) и </w:t>
      </w:r>
      <w:r>
        <w:rPr>
          <w:rFonts w:ascii="Times New Roman" w:cs="Times New Roman" w:eastAsia="Times New Roman" w:hAnsi="Times New Roman"/>
          <w:b/>
          <w:bCs/>
          <w:sz w:val="28"/>
          <w:szCs w:val="28"/>
        </w:rPr>
        <w:t xml:space="preserve">готовности</w:t>
      </w:r>
      <w:r>
        <w:rPr>
          <w:rFonts w:ascii="Times New Roman" w:cs="Times New Roman" w:eastAsia="Times New Roman" w:hAnsi="Times New Roman"/>
          <w:sz w:val="28"/>
          <w:szCs w:val="28"/>
        </w:rPr>
        <w:t xml:space="preserve"> (readiness: компонент может обслуживать запросы, его зависимости доступны).</w:t>
      </w:r>
    </w:p>
    <w:p>
      <w:pPr>
        <w:keepNext/>
        <w:pageBreakBefore/>
        <w:spacing w:after="240" w:before="0" w:line="360"/>
        <w:ind w:firstLine="709"/>
      </w:pPr>
      <w:r>
        <w:rPr>
          <w:rFonts w:ascii="Times New Roman" w:cs="Times New Roman" w:eastAsia="Times New Roman" w:hAnsi="Times New Roman"/>
          <w:b/>
          <w:bCs/>
          <w:sz w:val="28"/>
          <w:szCs w:val="28"/>
        </w:rPr>
        <w:t xml:space="preserve">3 Описание оборудования и программного обеспечения</w:t>
      </w:r>
    </w:p>
    <w:p>
      <w:pPr>
        <w:spacing w:after="0" w:before="0" w:line="360"/>
        <w:ind w:firstLine="709"/>
        <w:jc w:val="both"/>
      </w:pPr>
      <w:r>
        <w:rPr>
          <w:rFonts w:ascii="Times New Roman" w:cs="Times New Roman" w:eastAsia="Times New Roman" w:hAnsi="Times New Roman"/>
          <w:sz w:val="28"/>
          <w:szCs w:val="28"/>
        </w:rPr>
        <w:t xml:space="preserve">Работа выполнялась на персональном компьютере; используемые средства перечислены в таблице 1. Все компоненты прототипа и СУБД работали в контейнерах Docker на одном компьютере, нагрузка подавалась с этого же компьютера.</w:t>
      </w:r>
    </w:p>
    <w:p>
      <w:pPr>
        <w:keepNext/>
        <w:spacing w:after="0" w:before="240" w:line="360"/>
      </w:pPr>
      <w:r>
        <w:rPr>
          <w:rFonts w:ascii="Times New Roman" w:cs="Times New Roman" w:eastAsia="Times New Roman" w:hAnsi="Times New Roman"/>
          <w:sz w:val="28"/>
          <w:szCs w:val="28"/>
        </w:rPr>
        <w:t xml:space="preserve">Таблица 1 – Используемое оборудование и программное обеспечение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338"/>
        <w:gridCol w:w="3118"/>
        <w:gridCol w:w="3899"/>
      </w:tblGrid>
      <w:tr>
        <w:trPr>
          <w:tblHeader/>
        </w:trPr>
        <w:tc>
          <w:tcPr>
            <w:tcW w:type="dxa" w:w="233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Наименование</w:t>
            </w:r>
          </w:p>
        </w:tc>
        <w:tc>
          <w:tcPr>
            <w:tcW w:type="dxa" w:w="311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Характеристики / версия</w:t>
            </w:r>
          </w:p>
        </w:tc>
        <w:tc>
          <w:tcPr>
            <w:tcW w:type="dxa" w:w="389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Назначение</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Персональный компьютер</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x86-64, 12 логических ядер, ОЗУ 14 ГБ, SSD</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Выполнение работы, стенд для нагрузочного тестирования</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Операционная система</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Linux x86-64 (ядро 6.x)</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Среда выполнения</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Docker, Docker Compose</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Docker Engine, Compose v2</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Запуск прототипа; docker stats – загрузка контейнеров</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Node.js, модуль node:test</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24 LTS</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Выполнение сервисов; модульные и интеграционные тесты, покрытие кода (--experimental-test-coverage)</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PostgreSQL</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 (postgres:15-alpine)</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СУБД; EXPLAIN ANALYZE – анализ планов запросов</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Прототип АИС «Автостоянка»</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Результат ЛР № 2: 3 микросервиса, веб-интерфейс</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Объект тестирования</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scripts/load.mjs</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Собственная разработка</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Нагрузочное тестирование</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Microsoft Word / LibreOffice</w:t>
            </w:r>
          </w:p>
        </w:tc>
        <w:tc>
          <w:tcPr>
            <w:tcW w:type="dxa" w:w="311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389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Оформление отчёта</w:t>
            </w:r>
          </w:p>
        </w:tc>
      </w:tr>
    </w:tbl>
    <w:p>
      <w:pPr>
        <w:spacing w:after="120"/>
      </w:pPr>
    </w:p>
    <w:p>
      <w:pPr>
        <w:keepNext/>
        <w:pageBreakBefore/>
        <w:spacing w:after="240" w:before="0" w:line="360"/>
        <w:ind w:firstLine="709"/>
      </w:pPr>
      <w:r>
        <w:rPr>
          <w:rFonts w:ascii="Times New Roman" w:cs="Times New Roman" w:eastAsia="Times New Roman" w:hAnsi="Times New Roman"/>
          <w:b/>
          <w:bCs/>
          <w:sz w:val="28"/>
          <w:szCs w:val="28"/>
        </w:rPr>
        <w:t xml:space="preserve">4 Ход работы</w:t>
      </w:r>
    </w:p>
    <w:p>
      <w:pPr>
        <w:keepNext/>
        <w:spacing w:after="120" w:before="240" w:line="360"/>
        <w:ind w:firstLine="709"/>
      </w:pPr>
      <w:r>
        <w:rPr>
          <w:rFonts w:ascii="Times New Roman" w:cs="Times New Roman" w:eastAsia="Times New Roman" w:hAnsi="Times New Roman"/>
          <w:b/>
          <w:bCs/>
          <w:sz w:val="28"/>
          <w:szCs w:val="28"/>
        </w:rPr>
        <w:t xml:space="preserve">4.1 Разработка автоматизированных тестов</w:t>
      </w:r>
    </w:p>
    <w:p>
      <w:pPr>
        <w:spacing w:after="0" w:before="0" w:line="360"/>
        <w:ind w:firstLine="709"/>
        <w:jc w:val="both"/>
      </w:pPr>
      <w:r>
        <w:rPr>
          <w:rFonts w:ascii="Times New Roman" w:cs="Times New Roman" w:eastAsia="Times New Roman" w:hAnsi="Times New Roman"/>
          <w:sz w:val="28"/>
          <w:szCs w:val="28"/>
        </w:rPr>
        <w:t xml:space="preserve">Для тестов выбран встроенный в Node.js модуль node:test и модуль сравнений node:assert. Это не требует дополнительных библиотек и соответствует принципу KISS, принятому в ЛР № 2. Тесты разделены на два уровня:</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модульные тесты</w:t>
      </w:r>
      <w:r>
        <w:rPr>
          <w:rFonts w:ascii="Times New Roman" w:cs="Times New Roman" w:eastAsia="Times New Roman" w:hAnsi="Times New Roman"/>
          <w:sz w:val="28"/>
          <w:szCs w:val="28"/>
        </w:rPr>
        <w:t xml:space="preserve"> (49 тестов, 9 файлов) – проверяют функции общей библиотеки common и бизнес-логику сервисов без базы данных и сети. Зависимости заменены заглушками: пул соединений с БД – объектом, который запоминает SQL-запросы и возвращает заданный результат; функция fetch – функцией, имитирующей ответы, отказ соединения и тайм-аут clients-service. Запуск: </w:t>
      </w:r>
      <w:r>
        <w:rPr>
          <w:rFonts w:ascii="Courier New" w:cs="Courier New" w:eastAsia="Courier New" w:hAnsi="Courier New"/>
          <w:sz w:val="24"/>
          <w:szCs w:val="24"/>
        </w:rPr>
        <w:t xml:space="preserve">npm run test:unit</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интеграционные тесты</w:t>
      </w:r>
      <w:r>
        <w:rPr>
          <w:rFonts w:ascii="Times New Roman" w:cs="Times New Roman" w:eastAsia="Times New Roman" w:hAnsi="Times New Roman"/>
          <w:sz w:val="28"/>
          <w:szCs w:val="28"/>
        </w:rPr>
        <w:t xml:space="preserve"> (53 теста, 6 файлов) – выполняют реальные HTTP-запросы к трём запущенным сервисам с настоящей СУБД PostgreSQL. Запуск: </w:t>
      </w:r>
      <w:r>
        <w:rPr>
          <w:rFonts w:ascii="Courier New" w:cs="Courier New" w:eastAsia="Courier New" w:hAnsi="Courier New"/>
          <w:sz w:val="24"/>
          <w:szCs w:val="24"/>
        </w:rPr>
        <w:t xml:space="preserve">npm run test:integration</w:t>
      </w:r>
      <w:r>
        <w:rPr>
          <w:rFonts w:ascii="Times New Roman" w:cs="Times New Roman" w:eastAsia="Times New Roman" w:hAnsi="Times New Roman"/>
          <w:sz w:val="28"/>
          <w:szCs w:val="28"/>
        </w:rPr>
        <w:t xml:space="preserve"> (требует docker compose up)</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Для модульного тестирования логика распределения оплаты по неоплаченным стоянкам была вынесена из сервиса оплаты в чистую функцию allocatePayment (модуль domain/allocation.js), а клиент межсервисного вызова получил возможность подставить свою реализацию fetch. Это типичное изменение, повышающее тестируемость кода: бизнес-правило проверяется без базы данных.</w:t>
      </w:r>
    </w:p>
    <w:p>
      <w:pPr>
        <w:spacing w:after="0" w:before="0" w:line="360"/>
        <w:ind w:firstLine="709"/>
        <w:jc w:val="both"/>
      </w:pPr>
      <w:r>
        <w:rPr>
          <w:rFonts w:ascii="Times New Roman" w:cs="Times New Roman" w:eastAsia="Times New Roman" w:hAnsi="Times New Roman"/>
          <w:sz w:val="28"/>
          <w:szCs w:val="28"/>
        </w:rPr>
        <w:t xml:space="preserve">Интеграционные тесты, в отличие от демонстрационного сценария ЛР № 2, не зависят от исходного состояния базы: каждый тест создаёт собственные данные (клиентов, автомобили со случайными госномерами, учётные записи) и удаляет или завершает их по окончании, поэтому тесты можно запускать многократно. Проверяются:</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аутентификация: вход трёх ролей, неверный пароль, поддельный и отсутствующий токен, блокировка после пяти неудачных попыток (ФТ-3), блокировка администратором (ФТ-18)</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матрица доступа: 27 сочетаний «роль – операция» с ожидаемыми кодами 200, 401, 403, 404</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CRUD-операции всех ресурсов: клиенты, автомобили, скидки, тарифы, парковочные места, учётные записи, в том числе ошибки валидации, уникальности и ссылочной целостности</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основной сценарий ЛР № 1 на новых данных: въезд, выезд, расчёт стоимости 360 + 150 = 510 руб., оплата 500 руб., долг 10 руб., личный кабинет владельца</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межсервисное взаимодействие и отказы: передача идентификатора запроса, остановка clients-service (ответ 502 не дольше 3 с), приостановка СУБД (проверка готовности 503)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одновременные запросы: 8 въездов получают 8 разных мест, из 6 одновременных въездов одного автомобиля успешен ровно один, 5 одновременных оплат не превышают долг</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Состав тестов и результаты приведены в разделе 5.1.</w:t>
      </w:r>
    </w:p>
    <w:p>
      <w:pPr>
        <w:keepNext/>
        <w:spacing w:after="120" w:before="240" w:line="360"/>
        <w:ind w:firstLine="709"/>
      </w:pPr>
      <w:r>
        <w:rPr>
          <w:rFonts w:ascii="Times New Roman" w:cs="Times New Roman" w:eastAsia="Times New Roman" w:hAnsi="Times New Roman"/>
          <w:b/>
          <w:bCs/>
          <w:sz w:val="28"/>
          <w:szCs w:val="28"/>
        </w:rPr>
        <w:t xml:space="preserve">4.2 Ведение журналов событий</w:t>
      </w:r>
    </w:p>
    <w:p>
      <w:pPr>
        <w:spacing w:after="0" w:before="0" w:line="360"/>
        <w:ind w:firstLine="709"/>
        <w:jc w:val="both"/>
      </w:pPr>
      <w:r>
        <w:rPr>
          <w:rFonts w:ascii="Times New Roman" w:cs="Times New Roman" w:eastAsia="Times New Roman" w:hAnsi="Times New Roman"/>
          <w:sz w:val="28"/>
          <w:szCs w:val="28"/>
        </w:rPr>
        <w:t xml:space="preserve">В общую библиотеку common добавлен модуль logger.js. Каждое событие записывается в стандартный вывод одной строкой JSON; Docker собирает вывод контейнеров, и журнал просматривается командой docker compose logs. Внешние системы сбора журналов не требуются, но формат JSON позволяет подключить их без изменения кода. Каждая запись содержит время, уровень (info, warn, error), имя сервиса, тип события, идентификатор запроса и пользователя, а также поля, специфичные для события.</w:t>
      </w:r>
    </w:p>
    <w:p>
      <w:pPr>
        <w:spacing w:after="0" w:before="0" w:line="360"/>
        <w:ind w:firstLine="709"/>
        <w:jc w:val="both"/>
      </w:pPr>
      <w:r>
        <w:rPr>
          <w:rFonts w:ascii="Times New Roman" w:cs="Times New Roman" w:eastAsia="Times New Roman" w:hAnsi="Times New Roman"/>
          <w:b/>
          <w:bCs/>
          <w:sz w:val="28"/>
          <w:szCs w:val="28"/>
        </w:rPr>
        <w:t xml:space="preserve">Сквозной идентификатор запроса.</w:t>
      </w:r>
      <w:r>
        <w:rPr>
          <w:rFonts w:ascii="Times New Roman" w:cs="Times New Roman" w:eastAsia="Times New Roman" w:hAnsi="Times New Roman"/>
          <w:sz w:val="28"/>
          <w:szCs w:val="28"/>
        </w:rPr>
        <w:t xml:space="preserve"> nginx присваивает каждому запросу идентификатор ($request_id) и передаёт его в заголовке X-Request-Id; если запрос пришёл напрямую, сервис создаёт идентификатор сам. Идентификатор хранится в контексте запроса (AsyncLocalStorage) и автоматически добавляется ко всем записям журнала. parking-service передаёт его в clients-service при межсервисном вызове. В результате все записи, относящиеся к одному действию оператора, находятся по одному значению (листинг 1).</w:t>
      </w:r>
    </w:p>
    <w:p>
      <w:pPr>
        <w:keepNext/>
        <w:spacing w:after="0" w:before="240" w:line="360"/>
      </w:pPr>
      <w:r>
        <w:rPr>
          <w:rFonts w:ascii="Times New Roman" w:cs="Times New Roman" w:eastAsia="Times New Roman" w:hAnsi="Times New Roman"/>
          <w:sz w:val="28"/>
          <w:szCs w:val="28"/>
        </w:rPr>
        <w:t xml:space="preserve">Листинг 1 – Записи журнала одного запроса «регистрация въезда» в nginx и двух сервисах</w:t>
      </w:r>
    </w:p>
    <w:p>
      <w:pPr>
        <w:keepLines/>
        <w:shd w:fill="F2F2F2" w:color="auto" w:val="clear"/>
        <w:spacing w:after="0" w:before="0" w:line="240"/>
      </w:pPr>
      <w:r>
        <w:rPr>
          <w:rFonts w:ascii="Courier New" w:cs="Courier New" w:eastAsia="Courier New" w:hAnsi="Courier New"/>
          <w:sz w:val="18"/>
          <w:szCs w:val="18"/>
        </w:rPr>
        <w:t xml:space="preserve">172.18.0.1 [24/Sep/2026:06:58:53 +0000] "POST /api/sessions/entry HTTP/1.1" 201 0.173 s</w:t>
      </w:r>
    </w:p>
    <w:p>
      <w:pPr>
        <w:keepLines/>
        <w:shd w:fill="F2F2F2" w:color="auto" w:val="clear"/>
        <w:spacing w:after="0" w:before="0" w:line="240"/>
      </w:pPr>
      <w:r>
        <w:rPr>
          <w:rFonts w:ascii="Courier New" w:cs="Courier New" w:eastAsia="Courier New" w:hAnsi="Courier New"/>
          <w:sz w:val="18"/>
          <w:szCs w:val="18"/>
        </w:rPr>
        <w:t xml:space="preserve">    id=488664b5bb8c74dc2c4ff5d9ec7cda84</w:t>
      </w:r>
    </w:p>
    <w:p>
      <w:pPr>
        <w:keepLines/>
        <w:shd w:fill="F2F2F2" w:color="auto" w:val="clear"/>
        <w:spacing w:after="0" w:before="0" w:line="240"/>
      </w:pPr>
      <w:r>
        <w:rPr>
          <w:rFonts w:ascii="Courier New" w:cs="Courier New" w:eastAsia="Courier New" w:hAnsi="Courier New"/>
          <w:sz w:val="18"/>
          <w:szCs w:val="18"/>
        </w:rPr>
        <w:t xml:space="preserve">{"time":"2026-09-24T06:58:53.211Z","level":"info","service":"clients-service",</w:t>
      </w:r>
    </w:p>
    <w:p>
      <w:pPr>
        <w:keepLines/>
        <w:shd w:fill="F2F2F2" w:color="auto" w:val="clear"/>
        <w:spacing w:after="0" w:before="0" w:line="240"/>
      </w:pPr>
      <w:r>
        <w:rPr>
          <w:rFonts w:ascii="Courier New" w:cs="Courier New" w:eastAsia="Courier New" w:hAnsi="Courier New"/>
          <w:sz w:val="18"/>
          <w:szCs w:val="18"/>
        </w:rPr>
        <w:t xml:space="preserve"> "event":"http_request","requestId":"488664b5bb8c74dc2c4ff5d9ec7cda84","user":"operator",</w:t>
      </w:r>
    </w:p>
    <w:p>
      <w:pPr>
        <w:keepLines/>
        <w:shd w:fill="F2F2F2" w:color="auto" w:val="clear"/>
        <w:spacing w:after="0" w:before="0" w:line="240"/>
      </w:pPr>
      <w:r>
        <w:rPr>
          <w:rFonts w:ascii="Courier New" w:cs="Courier New" w:eastAsia="Courier New" w:hAnsi="Courier New"/>
          <w:sz w:val="18"/>
          <w:szCs w:val="18"/>
        </w:rPr>
        <w:t xml:space="preserve"> "method":"GET","route":"GET /api/cars/by-plate/:plate","status":200,"duration_ms":24}</w:t>
      </w:r>
    </w:p>
    <w:p>
      <w:pPr>
        <w:keepLines/>
        <w:shd w:fill="F2F2F2" w:color="auto" w:val="clear"/>
        <w:spacing w:after="0" w:before="0" w:line="240"/>
      </w:pPr>
      <w:r>
        <w:rPr>
          <w:rFonts w:ascii="Courier New" w:cs="Courier New" w:eastAsia="Courier New" w:hAnsi="Courier New"/>
          <w:sz w:val="18"/>
          <w:szCs w:val="18"/>
        </w:rPr>
        <w:t xml:space="preserve">{"time":"2026-09-24T06:58:53.256Z","level":"info","service":"parking-service",</w:t>
      </w:r>
    </w:p>
    <w:p>
      <w:pPr>
        <w:keepLines/>
        <w:shd w:fill="F2F2F2" w:color="auto" w:val="clear"/>
        <w:spacing w:after="0" w:before="0" w:line="240"/>
      </w:pPr>
      <w:r>
        <w:rPr>
          <w:rFonts w:ascii="Courier New" w:cs="Courier New" w:eastAsia="Courier New" w:hAnsi="Courier New"/>
          <w:sz w:val="18"/>
          <w:szCs w:val="18"/>
        </w:rPr>
        <w:t xml:space="preserve"> "event":"car_entry","requestId":"488664b5bb8c74dc2c4ff5d9ec7cda84","user":"operator",</w:t>
      </w:r>
    </w:p>
    <w:p>
      <w:pPr>
        <w:keepLines/>
        <w:shd w:fill="F2F2F2" w:color="auto" w:val="clear"/>
        <w:spacing w:after="0" w:before="0" w:line="240"/>
      </w:pPr>
      <w:r>
        <w:rPr>
          <w:rFonts w:ascii="Courier New" w:cs="Courier New" w:eastAsia="Courier New" w:hAnsi="Courier New"/>
          <w:sz w:val="18"/>
          <w:szCs w:val="18"/>
        </w:rPr>
        <w:t xml:space="preserve"> "session_id":6,"plate":"Е456КХ799","spot":2,"tariff_id":1}</w:t>
      </w:r>
    </w:p>
    <w:p>
      <w:pPr>
        <w:keepLines/>
        <w:shd w:fill="F2F2F2" w:color="auto" w:val="clear"/>
        <w:spacing w:after="0" w:before="0" w:line="240"/>
      </w:pPr>
      <w:r>
        <w:rPr>
          <w:rFonts w:ascii="Courier New" w:cs="Courier New" w:eastAsia="Courier New" w:hAnsi="Courier New"/>
          <w:sz w:val="18"/>
          <w:szCs w:val="18"/>
        </w:rPr>
        <w:t xml:space="preserve">{"time":"2026-09-24T06:58:53.257Z","level":"info","service":"parking-service",</w:t>
      </w:r>
    </w:p>
    <w:p>
      <w:pPr>
        <w:keepLines/>
        <w:shd w:fill="F2F2F2" w:color="auto" w:val="clear"/>
        <w:spacing w:after="0" w:before="0" w:line="240"/>
      </w:pPr>
      <w:r>
        <w:rPr>
          <w:rFonts w:ascii="Courier New" w:cs="Courier New" w:eastAsia="Courier New" w:hAnsi="Courier New"/>
          <w:sz w:val="18"/>
          <w:szCs w:val="18"/>
        </w:rPr>
        <w:t xml:space="preserve"> "event":"http_request","requestId":"488664b5bb8c74dc2c4ff5d9ec7cda84","user":"operator",</w:t>
      </w:r>
    </w:p>
    <w:p>
      <w:pPr>
        <w:keepLines/>
        <w:shd w:fill="F2F2F2" w:color="auto" w:val="clear"/>
        <w:spacing w:after="200" w:before="0" w:line="240"/>
      </w:pPr>
      <w:r>
        <w:rPr>
          <w:rFonts w:ascii="Courier New" w:cs="Courier New" w:eastAsia="Courier New" w:hAnsi="Courier New"/>
          <w:sz w:val="18"/>
          <w:szCs w:val="18"/>
        </w:rPr>
        <w:t xml:space="preserve"> "method":"POST","route":"POST /api/sessions/entry","status":201,"duration_ms":151.3}</w:t>
      </w:r>
    </w:p>
    <w:p>
      <w:pPr>
        <w:spacing w:after="0" w:before="0" w:line="360"/>
        <w:ind w:firstLine="709"/>
        <w:jc w:val="both"/>
      </w:pPr>
      <w:r>
        <w:rPr>
          <w:rFonts w:ascii="Times New Roman" w:cs="Times New Roman" w:eastAsia="Times New Roman" w:hAnsi="Times New Roman"/>
          <w:sz w:val="28"/>
          <w:szCs w:val="28"/>
        </w:rPr>
        <w:t xml:space="preserve">Регистрируемые события перечислены в таблице 2.</w:t>
      </w:r>
    </w:p>
    <w:p>
      <w:pPr>
        <w:keepNext/>
        <w:spacing w:after="0" w:before="240" w:line="360"/>
      </w:pPr>
      <w:r>
        <w:rPr>
          <w:rFonts w:ascii="Times New Roman" w:cs="Times New Roman" w:eastAsia="Times New Roman" w:hAnsi="Times New Roman"/>
          <w:sz w:val="28"/>
          <w:szCs w:val="28"/>
        </w:rPr>
        <w:t xml:space="preserve">Таблица 2 – События журнала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78"/>
        <w:gridCol w:w="1439"/>
        <w:gridCol w:w="5038"/>
      </w:tblGrid>
      <w:tr>
        <w:trPr>
          <w:tblHeader/>
        </w:trPr>
        <w:tc>
          <w:tcPr>
            <w:tcW w:type="dxa" w:w="287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Событие</w:t>
            </w:r>
          </w:p>
        </w:tc>
        <w:tc>
          <w:tcPr>
            <w:tcW w:type="dxa" w:w="143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Уровень</w:t>
            </w:r>
          </w:p>
        </w:tc>
        <w:tc>
          <w:tcPr>
            <w:tcW w:type="dxa" w:w="503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Когда записывается</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http_request</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info / error</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Каждый HTTP-запрос: метод, адрес, шаблон маршрута, код ответа, длительность; ответы 5xx – с уровнем error</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record_created, record_updated, record_deleted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info</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Запись данных через типовые CRUD-операции: таблица и идентификатор записи</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car_entry, car_exit, payment_accepted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info</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Бизнес-операции: госномер, место, стоимость, сумма к оплате, номер квитанции, остаток долга</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login_success, login_failed, account_locked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info / warn</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Вход в систему, неудачная попытка (номер попытки), блокировка учётной записи</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auth_token_rejected, access_denied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warn</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Недействительный токен; попытка операции без прав (роль, метод, адрес)</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request_rejected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warn</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Отклонённый запрос: ошибка валидации, конфликт, нарушение ограничения БД (код PostgreSQL)</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external_call_failed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warn</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Сбой вызова clients-service: номер попытки, причина (отказ соединения, тайм-аут)</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slow_query</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warn</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Запрос к БД дольше 200 мс (порог задаётся SLOW_QUERY_MS): текст запроса и длительность</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unhandled_error</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error</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Непредвиденная ошибка со стеком вызовов (клиенту возвращается только общее сообщение)</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service_started, service_stopping, service_stopped</w:t>
            </w:r>
          </w:p>
        </w:tc>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info</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Запуск и корректная остановка сервиса</w:t>
            </w:r>
          </w:p>
        </w:tc>
      </w:tr>
    </w:tbl>
    <w:p>
      <w:pPr>
        <w:spacing w:after="120"/>
      </w:pPr>
    </w:p>
    <w:p>
      <w:pPr>
        <w:keepNext/>
        <w:spacing w:after="120" w:before="240" w:line="360"/>
        <w:ind w:firstLine="709"/>
      </w:pPr>
      <w:r>
        <w:rPr>
          <w:rFonts w:ascii="Times New Roman" w:cs="Times New Roman" w:eastAsia="Times New Roman" w:hAnsi="Times New Roman"/>
          <w:b/>
          <w:bCs/>
          <w:sz w:val="28"/>
          <w:szCs w:val="28"/>
        </w:rPr>
        <w:t xml:space="preserve">4.3 Сбор метрик и проверки доступности</w:t>
      </w:r>
    </w:p>
    <w:p>
      <w:pPr>
        <w:spacing w:after="0" w:before="0" w:line="360"/>
        <w:ind w:firstLine="709"/>
        <w:jc w:val="both"/>
      </w:pPr>
      <w:r>
        <w:rPr>
          <w:rFonts w:ascii="Times New Roman" w:cs="Times New Roman" w:eastAsia="Times New Roman" w:hAnsi="Times New Roman"/>
          <w:sz w:val="28"/>
          <w:szCs w:val="28"/>
        </w:rPr>
        <w:t xml:space="preserve">Метрики собираются внутри каждого сервиса модулем metrics.js общей библиотеки и выдаются в формате JSON по адресу GET /metrics (через nginx наружу не публикуется); POST /metrics/reset начинает новое окно измерений. Отдельная система мониторинга не используется: для прототипа достаточно встроенного сбора, а формат позволяет в дальнейшем передавать данные во внешнюю систему. Собираемые показатели приведены в таблице 3.</w:t>
      </w:r>
    </w:p>
    <w:p>
      <w:pPr>
        <w:keepNext/>
        <w:spacing w:after="0" w:before="240" w:line="360"/>
      </w:pPr>
      <w:r>
        <w:rPr>
          <w:rFonts w:ascii="Times New Roman" w:cs="Times New Roman" w:eastAsia="Times New Roman" w:hAnsi="Times New Roman"/>
          <w:sz w:val="28"/>
          <w:szCs w:val="28"/>
        </w:rPr>
        <w:t xml:space="preserve">Таблица 3 – Собираемые метрики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97"/>
        <w:gridCol w:w="5458"/>
      </w:tblGrid>
      <w:tr>
        <w:trPr>
          <w:tblHeader/>
        </w:trPr>
        <w:tc>
          <w:tcPr>
            <w:tcW w:type="dxa" w:w="389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Метрика</w:t>
            </w:r>
          </w:p>
        </w:tc>
        <w:tc>
          <w:tcPr>
            <w:tcW w:type="dxa" w:w="545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Как собирается</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Время ответа по маршрутам: число, ошибки 5xx, среднее, p50, p95, p99, максимум</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Промежуточный обработчик замеряет длительность каждого запроса; маршрут берётся по шаблону (/api/sessions/:id/exit), чтобы не плодить отдельные ряды для каждого id</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Число одновременных запросов: текущее и максимальное</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Счётчик увеличивается при начале и уменьшается при завершении запроса</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Память: RSS текущий и пиковый, занятая куча</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process.memoryUsage(), пик фиксируется раз в секунду</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Задержка цикла событий: p50, p99, максимум</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monitorEventLoopDelay: показывает, насколько поток занят вычислениями</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Время запросов к БД по типу «операция таблица»</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Обёртка метода query у каждого соединения пула; медленные запросы также пишутся в журнал</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Пул соединений: размер, свободные, ожидающие, максимум ожидающих</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Показатели пула pg.Pool</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Время межсервисных вызовов и их ошибки</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Замер в REST-клиенте clients-service</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Счётчики бизнес-событий</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Въезды, выезды, оплаты, входы, блокировки, операции записи</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Загрузка процессора и память контейнеров</w:t>
            </w:r>
          </w:p>
        </w:tc>
        <w:tc>
          <w:tcPr>
            <w:tcW w:type="dxa" w:w="54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docker stats во время нагрузочного теста (скрипт load.mjs)</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Для проверки доступности каждый сервис предоставляет два адреса: /health/live (процесс отвечает) и /health/ready (процесс отвечает и база данных выполняет запрос SELECT 1 не дольше 1 с; иначе – ответ 503 с описанием причины). В docker-compose.yml для сервисов настроена периодическая проверка готовности (каждые 10 с, три неудачи подряд – контейнер помечается unhealthy), а политика restart: unless-stopped перезапускает упавший контейнер. Сервисы корректно завершаются по сигналу SIGTERM: дожидаются текущих запросов и закрывают соединения с БД. Во время работы также обнаружено и исправлено, что nginx запоминал IP-адрес сервиса при запуске и после пересоздания контейнера отвечал 502; теперь адреса повторно определяются через DNS Docker.</w:t>
      </w:r>
    </w:p>
    <w:p>
      <w:pPr>
        <w:keepNext/>
        <w:spacing w:after="120" w:before="240" w:line="360"/>
        <w:ind w:firstLine="709"/>
      </w:pPr>
      <w:r>
        <w:rPr>
          <w:rFonts w:ascii="Times New Roman" w:cs="Times New Roman" w:eastAsia="Times New Roman" w:hAnsi="Times New Roman"/>
          <w:b/>
          <w:bCs/>
          <w:sz w:val="28"/>
          <w:szCs w:val="28"/>
        </w:rPr>
        <w:t xml:space="preserve">4.4 Нагрузочное тестирование</w:t>
      </w:r>
    </w:p>
    <w:p>
      <w:pPr>
        <w:spacing w:after="0" w:before="0" w:line="360"/>
        <w:ind w:firstLine="709"/>
        <w:jc w:val="both"/>
      </w:pPr>
      <w:r>
        <w:rPr>
          <w:rFonts w:ascii="Times New Roman" w:cs="Times New Roman" w:eastAsia="Times New Roman" w:hAnsi="Times New Roman"/>
          <w:sz w:val="28"/>
          <w:szCs w:val="28"/>
        </w:rPr>
        <w:t xml:space="preserve">Для измерений в реалистичных условиях база данных была наполнена до объёма, указанного в нефункциональных требованиях ЛР № 1 («время отклика не более 2 с при объёме БД до 500 000 записей»): 500 025 стоянок за два года, 495 046 оплат, 5 025 клиентов, 6 026 автомобилей, 150 машино-мест (как в описании объекта автоматизации). Данные сгенерированы SQL-скриптами scripts/volume/*.sql, объём базы parking_db – 182 МБ.</w:t>
      </w:r>
    </w:p>
    <w:p>
      <w:pPr>
        <w:spacing w:after="0" w:before="0" w:line="360"/>
        <w:ind w:firstLine="709"/>
        <w:jc w:val="both"/>
      </w:pPr>
      <w:r>
        <w:rPr>
          <w:rFonts w:ascii="Times New Roman" w:cs="Times New Roman" w:eastAsia="Times New Roman" w:hAnsi="Times New Roman"/>
          <w:sz w:val="28"/>
          <w:szCs w:val="28"/>
        </w:rPr>
        <w:t xml:space="preserve">Нагрузка создаётся скриптом scripts/load.mjs по «закрытой» модели: заданное число виртуальных пользователей выполняет операции в цикле. Все запросы идут через nginx, как из веб-интерфейса. Смесь операций, соответствующая работе оператора, приведена в таблице 4, фазы измерения – в таблице 5. Перед каждой фазой метрики сервисов обнуляются, после фазы – сохраняются вместе с показателями на стороне клиента в results/&lt;метка&gt;.json.</w:t>
      </w:r>
    </w:p>
    <w:p>
      <w:pPr>
        <w:keepNext/>
        <w:spacing w:after="0" w:before="240" w:line="360"/>
      </w:pPr>
      <w:r>
        <w:rPr>
          <w:rFonts w:ascii="Times New Roman" w:cs="Times New Roman" w:eastAsia="Times New Roman" w:hAnsi="Times New Roman"/>
          <w:sz w:val="28"/>
          <w:szCs w:val="28"/>
        </w:rPr>
        <w:t xml:space="preserve">Таблица 4 – Смесь операций виртуального пользователя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97"/>
        <w:gridCol w:w="1247"/>
        <w:gridCol w:w="4211"/>
      </w:tblGrid>
      <w:tr>
        <w:trPr>
          <w:tblHeader/>
        </w:trPr>
        <w:tc>
          <w:tcPr>
            <w:tcW w:type="dxa" w:w="389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Операция</w:t>
            </w:r>
          </w:p>
        </w:tc>
        <w:tc>
          <w:tcPr>
            <w:tcW w:type="dxa" w:w="124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Доля, %</w:t>
            </w:r>
          </w:p>
        </w:tc>
        <w:tc>
          <w:tcPr>
            <w:tcW w:type="dxa" w:w="421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Запрос</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стоянок по фрагменту номера</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/api/sessions?plate=012</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Список автомобилей на стоянке</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/api/sessions?active=true</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План стоянки</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/api/spots</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Автозаполнение по госномеру</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/api/cars/by-plate/{госномер}</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клиентов по ФИО</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/api/clients?full_name=...</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Задолженность клиента</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/api/clients/{id}/debt</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Цикл «въезд → выезд → оплата»</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POST .../entry, .../exit, /api/payments</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Личный кабинет владельца</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42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GET /api/my/sessions</w:t>
            </w:r>
          </w:p>
        </w:tc>
      </w:tr>
    </w:tbl>
    <w:p>
      <w:pPr>
        <w:spacing w:after="120"/>
      </w:pPr>
    </w:p>
    <w:p>
      <w:pPr>
        <w:keepNext/>
        <w:spacing w:after="0" w:before="240" w:line="360"/>
      </w:pPr>
      <w:r>
        <w:rPr>
          <w:rFonts w:ascii="Times New Roman" w:cs="Times New Roman" w:eastAsia="Times New Roman" w:hAnsi="Times New Roman"/>
          <w:sz w:val="28"/>
          <w:szCs w:val="28"/>
        </w:rPr>
        <w:t xml:space="preserve">Таблица 5 – Фазы нагрузочного тестирования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97"/>
        <w:gridCol w:w="1559"/>
        <w:gridCol w:w="2338"/>
        <w:gridCol w:w="1561"/>
      </w:tblGrid>
      <w:tr>
        <w:trPr>
          <w:tblHeader/>
        </w:trPr>
        <w:tc>
          <w:tcPr>
            <w:tcW w:type="dxa" w:w="389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Фаза</w:t>
            </w:r>
          </w:p>
        </w:tc>
        <w:tc>
          <w:tcPr>
            <w:tcW w:type="dxa" w:w="155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Пользователей</w:t>
            </w:r>
          </w:p>
        </w:tc>
        <w:tc>
          <w:tcPr>
            <w:tcW w:type="dxa" w:w="233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Пауза между операциями</w:t>
            </w:r>
          </w:p>
        </w:tc>
        <w:tc>
          <w:tcPr>
            <w:tcW w:type="dxa" w:w="156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Длительность</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Средняя нагрузка (смена из 10 операторов)</w:t>
            </w:r>
          </w:p>
        </w:tc>
        <w:tc>
          <w:tcPr>
            <w:tcW w:type="dxa" w:w="155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150–450 мс</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 с</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Пиковая нагрузка</w:t>
            </w:r>
          </w:p>
        </w:tc>
        <w:tc>
          <w:tcPr>
            <w:tcW w:type="dxa" w:w="155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нет</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 с</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Всплеск входов в систему (начало смены)</w:t>
            </w:r>
          </w:p>
        </w:tc>
        <w:tc>
          <w:tcPr>
            <w:tcW w:type="dxa" w:w="155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нет (только вход)</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 с</w:t>
            </w:r>
          </w:p>
        </w:tc>
      </w:tr>
    </w:tbl>
    <w:p>
      <w:pPr>
        <w:spacing w:after="120"/>
      </w:pPr>
    </w:p>
    <w:p>
      <w:pPr>
        <w:keepNext/>
        <w:spacing w:after="120" w:before="240" w:line="360"/>
        <w:ind w:firstLine="709"/>
      </w:pPr>
      <w:r>
        <w:rPr>
          <w:rFonts w:ascii="Times New Roman" w:cs="Times New Roman" w:eastAsia="Times New Roman" w:hAnsi="Times New Roman"/>
          <w:b/>
          <w:bCs/>
          <w:sz w:val="28"/>
          <w:szCs w:val="28"/>
        </w:rPr>
        <w:t xml:space="preserve">4.5 Анализ узких мест</w:t>
      </w:r>
    </w:p>
    <w:p>
      <w:pPr>
        <w:spacing w:after="0" w:before="0" w:line="360"/>
        <w:ind w:firstLine="709"/>
        <w:jc w:val="both"/>
      </w:pPr>
      <w:r>
        <w:rPr>
          <w:rFonts w:ascii="Times New Roman" w:cs="Times New Roman" w:eastAsia="Times New Roman" w:hAnsi="Times New Roman"/>
          <w:sz w:val="28"/>
          <w:szCs w:val="28"/>
        </w:rPr>
        <w:t xml:space="preserve">Первое измерение (метка baseline) выполнено на схеме базы данных из ЛР № 2. По метрикам запросов к БД (наибольшее суммарное время у SELECT parking_sessions) и загрузке контейнеров выявлены запросы, ограничивающие производительность. Их планы выполнения проанализированы командой EXPLAIN ANALYZE (таблица 6).</w:t>
      </w:r>
    </w:p>
    <w:p>
      <w:pPr>
        <w:keepNext/>
        <w:spacing w:after="0" w:before="240" w:line="360"/>
      </w:pPr>
      <w:r>
        <w:rPr>
          <w:rFonts w:ascii="Times New Roman" w:cs="Times New Roman" w:eastAsia="Times New Roman" w:hAnsi="Times New Roman"/>
          <w:sz w:val="28"/>
          <w:szCs w:val="28"/>
        </w:rPr>
        <w:t xml:space="preserve">Таблица 6 – Анализ медленных запросов (500 000 стоянок)</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8"/>
        <w:gridCol w:w="1013"/>
        <w:gridCol w:w="4834"/>
      </w:tblGrid>
      <w:tr>
        <w:trPr>
          <w:tblHeader/>
        </w:trPr>
        <w:tc>
          <w:tcPr>
            <w:tcW w:type="dxa" w:w="350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Запрос</w:t>
            </w:r>
          </w:p>
        </w:tc>
        <w:tc>
          <w:tcPr>
            <w:tcW w:type="dxa" w:w="101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Время, мс</w:t>
            </w:r>
          </w:p>
        </w:tc>
        <w:tc>
          <w:tcPr>
            <w:tcW w:type="dxa" w:w="483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Причина по плану выполнения</w:t>
            </w:r>
          </w:p>
        </w:tc>
      </w:tr>
      <w:tr>
        <w:trPr>
          <w:cantSplit/>
        </w:trPr>
        <w:tc>
          <w:tcPr>
            <w:tcW w:type="dxa" w:w="350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по фрагменту номера (plate ILIKE '%012%' ORDER BY entry_time LIMIT 20)</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190</w:t>
            </w:r>
          </w:p>
        </w:tc>
        <w:tc>
          <w:tcPr>
            <w:tcW w:type="dxa" w:w="483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Параллельный полный просмотр таблицы parking_sessions: B-tree индекс не применим к поиску подстроки</w:t>
            </w:r>
          </w:p>
        </w:tc>
      </w:tr>
      <w:tr>
        <w:trPr>
          <w:cantSplit/>
        </w:trPr>
        <w:tc>
          <w:tcPr>
            <w:tcW w:type="dxa" w:w="350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Задолженность клиента (представление session_balances)</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143</w:t>
            </w:r>
          </w:p>
        </w:tc>
        <w:tc>
          <w:tcPr>
            <w:tcW w:type="dxa" w:w="483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Для каждого расчёта полностью читается таблица payments (497 тыс. строк): по внешнему ключу payments.session_id нет индекса</w:t>
            </w:r>
          </w:p>
        </w:tc>
      </w:tr>
      <w:tr>
        <w:trPr>
          <w:cantSplit/>
        </w:trPr>
        <w:tc>
          <w:tcPr>
            <w:tcW w:type="dxa" w:w="350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Оплаты стоянки (payments WHERE session_id = ...)</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39</w:t>
            </w:r>
          </w:p>
        </w:tc>
        <w:tc>
          <w:tcPr>
            <w:tcW w:type="dxa" w:w="483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Та же причина – полный просмотр payments</w:t>
            </w:r>
          </w:p>
        </w:tc>
      </w:tr>
      <w:tr>
        <w:trPr>
          <w:cantSplit/>
        </w:trPr>
        <w:tc>
          <w:tcPr>
            <w:tcW w:type="dxa" w:w="350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Первая страница списка стоянок (ORDER BY entry_time DESC LIMIT 20)</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81</w:t>
            </w:r>
          </w:p>
        </w:tc>
        <w:tc>
          <w:tcPr>
            <w:tcW w:type="dxa" w:w="483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Сортировка всей таблицы: нет индекса по времени въезда</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Предварительная гипотеза о том, что представление session_balances агрегирует всю таблицу стоянок, не подтвердилась: условие по клиенту применяется до группировки, и стоянки выбираются по индексу. Узким местом оказалось соединение с таблицей оплат. Расчёт задолженности выполняется при каждом выезде, оплате, запросе долга и открытии личного кабинета, поэтому этот запрос нагружает СУБД сильнее всего.</w:t>
      </w:r>
    </w:p>
    <w:p>
      <w:pPr>
        <w:spacing w:after="0" w:before="0" w:line="360"/>
        <w:ind w:firstLine="709"/>
        <w:jc w:val="both"/>
      </w:pPr>
      <w:r>
        <w:rPr>
          <w:rFonts w:ascii="Times New Roman" w:cs="Times New Roman" w:eastAsia="Times New Roman" w:hAnsi="Times New Roman"/>
          <w:sz w:val="28"/>
          <w:szCs w:val="28"/>
        </w:rPr>
        <w:t xml:space="preserve">Для проверки первой из предложенных мер (раздел 5.4) в базу данных добавлены индексы (файл db/init/05-performance.sql): триграммные индексы pg_trgm для поиска по фрагменту госномера и ФИО, индекс по времени въезда и индекс по payments.session_id. Неиспользуемый B-tree индекс по госномеру удалён. Затем измерение повторено с теми же параметрами (метка optimized), программный код сервисов не менялся.</w:t>
      </w:r>
    </w:p>
    <w:p>
      <w:pPr>
        <w:keepNext/>
        <w:spacing w:after="0" w:before="240" w:line="360"/>
      </w:pPr>
      <w:r>
        <w:rPr>
          <w:rFonts w:ascii="Times New Roman" w:cs="Times New Roman" w:eastAsia="Times New Roman" w:hAnsi="Times New Roman"/>
          <w:sz w:val="28"/>
          <w:szCs w:val="28"/>
        </w:rPr>
        <w:t xml:space="preserve">Таблица 7 – Время выполнения запросов до и после добавления индексов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52"/>
        <w:gridCol w:w="1700"/>
        <w:gridCol w:w="1700"/>
        <w:gridCol w:w="1703"/>
      </w:tblGrid>
      <w:tr>
        <w:trPr>
          <w:tblHeader/>
        </w:trPr>
        <w:tc>
          <w:tcPr>
            <w:tcW w:type="dxa" w:w="4252"/>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Запрос</w:t>
            </w:r>
          </w:p>
        </w:tc>
        <w:tc>
          <w:tcPr>
            <w:tcW w:type="dxa" w:w="17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До, мс</w:t>
            </w:r>
          </w:p>
        </w:tc>
        <w:tc>
          <w:tcPr>
            <w:tcW w:type="dxa" w:w="17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После, мс</w:t>
            </w:r>
          </w:p>
        </w:tc>
        <w:tc>
          <w:tcPr>
            <w:tcW w:type="dxa" w:w="170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Ускорение</w:t>
            </w:r>
          </w:p>
        </w:tc>
      </w:tr>
      <w:tr>
        <w:trPr>
          <w:cantSplit/>
        </w:trPr>
        <w:tc>
          <w:tcPr>
            <w:tcW w:type="dxa" w:w="425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по фрагменту номера</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190</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w:t>
            </w:r>
          </w:p>
        </w:tc>
        <w:tc>
          <w:tcPr>
            <w:tcW w:type="dxa" w:w="170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 7,6 раза</w:t>
            </w:r>
          </w:p>
        </w:tc>
      </w:tr>
      <w:tr>
        <w:trPr>
          <w:cantSplit/>
        </w:trPr>
        <w:tc>
          <w:tcPr>
            <w:tcW w:type="dxa" w:w="425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Задолженность клиента</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4,5</w:t>
            </w:r>
          </w:p>
        </w:tc>
        <w:tc>
          <w:tcPr>
            <w:tcW w:type="dxa" w:w="170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 32 раза</w:t>
            </w:r>
          </w:p>
        </w:tc>
      </w:tr>
      <w:tr>
        <w:trPr>
          <w:cantSplit/>
        </w:trPr>
        <w:tc>
          <w:tcPr>
            <w:tcW w:type="dxa" w:w="425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Оплаты стоянки</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39</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0,3</w:t>
            </w:r>
          </w:p>
        </w:tc>
        <w:tc>
          <w:tcPr>
            <w:tcW w:type="dxa" w:w="170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 130 раз</w:t>
            </w:r>
          </w:p>
        </w:tc>
      </w:tr>
      <w:tr>
        <w:trPr>
          <w:cantSplit/>
        </w:trPr>
        <w:tc>
          <w:tcPr>
            <w:tcW w:type="dxa" w:w="425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Первая страница списка стоянок</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0,2</w:t>
            </w:r>
          </w:p>
        </w:tc>
        <w:tc>
          <w:tcPr>
            <w:tcW w:type="dxa" w:w="170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 400 раз</w:t>
            </w:r>
          </w:p>
        </w:tc>
      </w:tr>
    </w:tbl>
    <w:p>
      <w:pPr>
        <w:spacing w:after="120"/>
      </w:pPr>
    </w:p>
    <w:p>
      <w:pPr>
        <w:keepNext/>
        <w:pageBreakBefore/>
        <w:spacing w:after="240" w:before="0" w:line="360"/>
        <w:ind w:firstLine="709"/>
      </w:pPr>
      <w:r>
        <w:rPr>
          <w:rFonts w:ascii="Times New Roman" w:cs="Times New Roman" w:eastAsia="Times New Roman" w:hAnsi="Times New Roman"/>
          <w:b/>
          <w:bCs/>
          <w:sz w:val="28"/>
          <w:szCs w:val="28"/>
        </w:rPr>
        <w:t xml:space="preserve">5 Результаты</w:t>
      </w:r>
    </w:p>
    <w:p>
      <w:pPr>
        <w:keepNext/>
        <w:spacing w:after="120" w:before="240" w:line="360"/>
        <w:ind w:firstLine="709"/>
      </w:pPr>
      <w:r>
        <w:rPr>
          <w:rFonts w:ascii="Times New Roman" w:cs="Times New Roman" w:eastAsia="Times New Roman" w:hAnsi="Times New Roman"/>
          <w:b/>
          <w:bCs/>
          <w:sz w:val="28"/>
          <w:szCs w:val="28"/>
        </w:rPr>
        <w:t xml:space="preserve">5.1 Результаты тестирования</w:t>
      </w:r>
    </w:p>
    <w:p>
      <w:pPr>
        <w:spacing w:after="0" w:before="0" w:line="360"/>
        <w:ind w:firstLine="709"/>
        <w:jc w:val="both"/>
      </w:pPr>
      <w:r>
        <w:rPr>
          <w:rFonts w:ascii="Times New Roman" w:cs="Times New Roman" w:eastAsia="Times New Roman" w:hAnsi="Times New Roman"/>
          <w:sz w:val="28"/>
          <w:szCs w:val="28"/>
        </w:rPr>
        <w:t xml:space="preserve">Всего разработано 102 автоматизированных тестов: 49 модульных и 53 интеграционных. Все тесты пройдены. Сводка по файлам приведена в таблицах 8 и 9, полный перечень – в таблицах 10 и 11. Модульные тесты выполняются за 1 с, интеграционные – за 17 с.</w:t>
      </w:r>
    </w:p>
    <w:p>
      <w:pPr>
        <w:keepNext/>
        <w:spacing w:after="0" w:before="240" w:line="360"/>
      </w:pPr>
      <w:r>
        <w:rPr>
          <w:rFonts w:ascii="Times New Roman" w:cs="Times New Roman" w:eastAsia="Times New Roman" w:hAnsi="Times New Roman"/>
          <w:sz w:val="28"/>
          <w:szCs w:val="28"/>
        </w:rPr>
        <w:t xml:space="preserve">Таблица 8 – Сводка модульных тестов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030"/>
        <w:gridCol w:w="3190"/>
        <w:gridCol w:w="1015"/>
        <w:gridCol w:w="1450"/>
        <w:gridCol w:w="1670"/>
      </w:tblGrid>
      <w:tr>
        <w:trPr>
          <w:tblHeader/>
        </w:trPr>
        <w:tc>
          <w:tcPr>
            <w:tcW w:type="dxa" w:w="203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Модуль</w:t>
            </w:r>
          </w:p>
        </w:tc>
        <w:tc>
          <w:tcPr>
            <w:tcW w:type="dxa" w:w="319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Файл</w:t>
            </w:r>
          </w:p>
        </w:tc>
        <w:tc>
          <w:tcPr>
            <w:tcW w:type="dxa" w:w="1015"/>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Тестов</w:t>
            </w:r>
          </w:p>
        </w:tc>
        <w:tc>
          <w:tcPr>
            <w:tcW w:type="dxa" w:w="145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Пройдено</w:t>
            </w:r>
          </w:p>
        </w:tc>
        <w:tc>
          <w:tcPr>
            <w:tcW w:type="dxa" w:w="167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Не пройдено</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common/test/auth.test.js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common/test/crud.test.js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common/test/errors.test.js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common/test/observability.test.js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common/test/validate.test.js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services/auth-service/test/authService.test.js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parking/allocation</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services/parking-service/test/allocation.test.js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services/parking-service/test/clientsApi.test.js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services/parking-service/test/pricing.test.js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bl>
    <w:p>
      <w:pPr>
        <w:spacing w:after="120"/>
      </w:pPr>
    </w:p>
    <w:p>
      <w:pPr>
        <w:keepNext/>
        <w:spacing w:after="0" w:before="240" w:line="360"/>
      </w:pPr>
      <w:r>
        <w:rPr>
          <w:rFonts w:ascii="Times New Roman" w:cs="Times New Roman" w:eastAsia="Times New Roman" w:hAnsi="Times New Roman"/>
          <w:sz w:val="28"/>
          <w:szCs w:val="28"/>
        </w:rPr>
        <w:t xml:space="preserve">Таблица 9 – Сводка интеграционных тестов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030"/>
        <w:gridCol w:w="3190"/>
        <w:gridCol w:w="1015"/>
        <w:gridCol w:w="1450"/>
        <w:gridCol w:w="1670"/>
      </w:tblGrid>
      <w:tr>
        <w:trPr>
          <w:tblHeader/>
        </w:trPr>
        <w:tc>
          <w:tcPr>
            <w:tcW w:type="dxa" w:w="203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Группа</w:t>
            </w:r>
          </w:p>
        </w:tc>
        <w:tc>
          <w:tcPr>
            <w:tcW w:type="dxa" w:w="319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Файл</w:t>
            </w:r>
          </w:p>
        </w:tc>
        <w:tc>
          <w:tcPr>
            <w:tcW w:type="dxa" w:w="1015"/>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Тестов</w:t>
            </w:r>
          </w:p>
        </w:tc>
        <w:tc>
          <w:tcPr>
            <w:tcW w:type="dxa" w:w="145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Пройдено</w:t>
            </w:r>
          </w:p>
        </w:tc>
        <w:tc>
          <w:tcPr>
            <w:tcW w:type="dxa" w:w="167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Не пройдено</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tests/integration/auth.test.mjs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Одновременные запросы</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tests/integration/concurrency.test.mjs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tests/integration/crud.test.mjs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tests/integration/parking-flow.test.mjs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tests/integration/rbac.test.mjs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27</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31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Courier New" w:cs="Courier New" w:eastAsia="Courier New" w:hAnsi="Courier New"/>
                <w:sz w:val="20"/>
                <w:szCs w:val="20"/>
              </w:rPr>
              <w:t xml:space="preserve">tests/integration/services.test.mjs</w:t>
            </w:r>
          </w:p>
        </w:tc>
        <w:tc>
          <w:tcPr>
            <w:tcW w:type="dxa" w:w="10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bl>
    <w:p>
      <w:pPr>
        <w:spacing w:after="120"/>
      </w:pPr>
    </w:p>
    <w:p>
      <w:pPr>
        <w:keepNext/>
        <w:spacing w:after="0" w:before="240" w:line="360"/>
      </w:pPr>
      <w:r>
        <w:rPr>
          <w:rFonts w:ascii="Times New Roman" w:cs="Times New Roman" w:eastAsia="Times New Roman" w:hAnsi="Times New Roman"/>
          <w:sz w:val="28"/>
          <w:szCs w:val="28"/>
        </w:rPr>
        <w:t xml:space="preserve">Таблица 10 – Перечень модульных тестов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60"/>
        <w:gridCol w:w="1993"/>
        <w:gridCol w:w="5290"/>
        <w:gridCol w:w="1612"/>
      </w:tblGrid>
      <w:tr>
        <w:trPr>
          <w:tblHeader/>
        </w:trPr>
        <w:tc>
          <w:tcPr>
            <w:tcW w:type="dxa" w:w="4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w:t>
            </w:r>
          </w:p>
        </w:tc>
        <w:tc>
          <w:tcPr>
            <w:tcW w:type="dxa" w:w="199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Модуль</w:t>
            </w:r>
          </w:p>
        </w:tc>
        <w:tc>
          <w:tcPr>
            <w:tcW w:type="dxa" w:w="529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Тест</w:t>
            </w:r>
          </w:p>
        </w:tc>
        <w:tc>
          <w:tcPr>
            <w:tcW w:type="dxa" w:w="1612"/>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Результат</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выданный токен проходит проверку, данные пользователя попадают в req.user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токен содержит id, логин, роль и срок действия 8 часов</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без заголовка Authorization — 401</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поддельный, чужой и просроченный токен — 401</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authorize пропускает разрешённые роли и отклоняет остальные с кодом 403</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GET: фильтры превращаются в параметризованный WHERE, лишние параметры игнорируются</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POST: INSERT только из полей схемы, ответ 201</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PUT: частичное обновление только присланных полей</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404 для несуществующей записи, 400 для некорректного id</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права доступа: оператор читает, но не пишет и не удаляет (403), до БД запрос не доходит</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prepare преобразует данные перед записью, columns скрывает столбцы</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ошибка валидации — 400, запрос к БД не выполняется</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HttpError передаёт свой код и сообщение</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ошибки PostgreSQL переводятся в ошибки клиента</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некорректный JSON в теле — 400 с понятным сообщением</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16</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непредвиденная ошибка — 500 без раскрытия подробностей</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17</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перцентили считаются по отсортированной выборке</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18</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серия замеров: число, ошибки, среднее, максимум</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учёт одновременных запросов: текущее и максимальное число</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метрики HTTP группируются по шаблону маршрута, 5xx считаются ошибками</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метка SQL-запроса: операция и таблица</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22</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 logger, db</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журнал: одна строка JSON с сервисом, событием и идентификатором запроса из контекста</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пропускает корректные данные</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24</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отбрасывает поля, которых нет в схеме (белый список)</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обязательное поле: ошибка 400 при создании</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26</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обязательное поле не требуется при частичном обновлении</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27</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проверка типов</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перечисление допустимых значений</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null разрешён только для nullable-полей</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common/validate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пустое тело — ошибка 400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31</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верный пароль: выдаётся JWT с ролью, счётчик неудач сбрасывается</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32</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неверный пароль и неизвестный логин — одинаковый ответ 401</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33</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после 5 неудачных попыток — блокировка 423, даже с верным паролем</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34</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истёкшая блокировка не мешает входу</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заблокированная администратором запись — 403</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36</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parking/allocation</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пример из ЛР № 1: 500 руб. при долге 150 и стоянке 360 — остаток долга 10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37</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parking/allocation</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сначала гасится самая ранняя стоянка</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38</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parking/allocation</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точная оплата закрывает все стоянки</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39</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parking/allocation</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оплата сверх задолженности — ошибка 400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40</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передаёт токен пользователя и идентификатор запроса, кодирует госномер</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41</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ответ-ошибка clients-service передаётся с тем же кодом и сообщением</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отказ соединения: одна повторная попытка, затем 502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43</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повторная попытка успешна — результат возвращается</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44</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parking/clientsApi</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тайм-аут не повторяется (пользователь уже ждал 2 с) — сразу 502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45</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пример из ЛР №1 (таблица 10): 265 мин, скидка 10 % — 360 руб.</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46</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первые 15 минут бесплатны</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47</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неполный час округляется в большую сторону</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48</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граница бесплатного времени и часов: 75 мин — 1 ч, 76 мин — 2 ч</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49</w:t>
            </w:r>
          </w:p>
        </w:tc>
        <w:tc>
          <w:tcPr>
            <w:tcW w:type="dxa" w:w="199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parking/pricing</w:t>
            </w:r>
          </w:p>
        </w:tc>
        <w:tc>
          <w:tcPr>
            <w:tcW w:type="dxa" w:w="52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копейки округляются до сотых, скидка 100 % даёт 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bl>
    <w:p>
      <w:pPr>
        <w:spacing w:after="120"/>
      </w:pPr>
    </w:p>
    <w:p>
      <w:pPr>
        <w:keepNext/>
        <w:spacing w:after="0" w:before="240" w:line="360"/>
      </w:pPr>
      <w:r>
        <w:rPr>
          <w:rFonts w:ascii="Times New Roman" w:cs="Times New Roman" w:eastAsia="Times New Roman" w:hAnsi="Times New Roman"/>
          <w:sz w:val="28"/>
          <w:szCs w:val="28"/>
        </w:rPr>
        <w:t xml:space="preserve">Таблица 11 – Перечень интеграционных тестов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60"/>
        <w:gridCol w:w="1840"/>
        <w:gridCol w:w="5444"/>
        <w:gridCol w:w="1611"/>
      </w:tblGrid>
      <w:tr>
        <w:trPr>
          <w:tblHeader/>
        </w:trPr>
        <w:tc>
          <w:tcPr>
            <w:tcW w:type="dxa" w:w="4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w:t>
            </w:r>
          </w:p>
        </w:tc>
        <w:tc>
          <w:tcPr>
            <w:tcW w:type="dxa" w:w="184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Группа</w:t>
            </w:r>
          </w:p>
        </w:tc>
        <w:tc>
          <w:tcPr>
            <w:tcW w:type="dxa" w:w="544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Тест</w:t>
            </w:r>
          </w:p>
        </w:tc>
        <w:tc>
          <w:tcPr>
            <w:tcW w:type="dxa" w:w="161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Результат</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вход трёх ролей возвращает токен и данные пользователя без хеша пароля</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неверный пароль и неизвестный логин — 401 с одинаковым сообщением</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вход без обязательных полей — 400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токен, выданный auth-service, принимают clients-service и parking-service</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без токена и с поддельным токеном — 401 во всех сервисах</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Аутентификация</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блокировка после 5 неудачных попыток (ФТ-3) и блокировка администратором (ФТ-18)</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Одновременные запросы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 одновременных въездов разных автомобилей получают 8 разных мест</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Одновременные запросы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 одновременных въездов одного автомобиля: успешен ровно один, остальные — 409</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Одновременные запросы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 одновременных оплат по 30 руб. при долге 80: сумма оплат не превышает долг</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клиенты: полный цикл CRUD (оператор создаёт и меняет, администратор удаляет)</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клиенты: ошибки валидации и некорректные запросы</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автомобили: госномер нормализуется и уникален (ФТ-5), поиск по фрагменту, удаление</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скидки: CRUD администратора и ограничение процента 0–100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тарифы: CRUD администратора, отрицательная цена отклоняется</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парковочные места: уникальный номер, фильтр по статусу, место со стоянками не удаляется</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16</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CRUD-операции</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учётные записи: пароль хешируется и не возвращается, смена пароля работает</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17</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пример из таблицы 10 ЛР № 1: 360 + долг 150 = 510, оплата 500 — долг 10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18</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въезд занимает место, выезд освобождает; повторный въезд и повторный выезд — 409</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первые 15 минут бесплатно: стоянка сразу получает статус PAID</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ошибочные операции отклоняются с понятными кодами</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Сценарий ЛР № 1</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стоянок по фрагменту номера, статусу, периоду и признаку «на стоянке»</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без токена: GET :3002/api/clients → 401</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без токена: GET :3003/api/my/sessions → 401</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24</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без токена: POST :3003/api/sessions/entry → 401</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:3002/api/clients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26</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:3002/api/cars/by-plate/%D0%90123%D0%92%D0%A1777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27</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:3003/api/sessions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POST :3003/api/sessions/entry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POST :3003/api/payments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:3003/api/clients/2/debt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:3001/api/users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petrov: GET :3003/api/my/sessions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GET :3001/api/users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34</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POST :3001/api/users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POST :3003/api/tariffs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36</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PUT :3003/api/spots/1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37</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POST :3002/api/discounts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38</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DELETE :3002/api/clients/999999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39</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DELETE :3002/api/cars/999999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40</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GET :3003/api/my/sessions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GET :3002/api/clients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GET :3003/api/sessions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operator: GET :3003/api/tariffs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44</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admin: GET :3001/api/users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45</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admin: GET :3003/api/sessions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46</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admin: DELETE :3002/api/clients/999999 → 404</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47</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admin: GET :3003/api/my/sessions → 403</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48</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Матрица доступа</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личный кабинет возвращает только стоянки своего клиента</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49</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проверки доступности: /health/live и /health/ready всех сервисов</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50</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метрики: время ответа по маршрутам, одновременные запросы, память, запросы к БД</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51</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сквозной идентификатор запроса: parking-service передаёт его в clients-service, оба пишут в журнал</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52</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отказ clients-service: въезд — 502 не дольше 3 с, остальные функции parking-service работают</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r>
        <w:trPr>
          <w:cantSplit/>
        </w:trPr>
        <w:tc>
          <w:tcPr>
            <w:tcW w:type="dxa" w:w="46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53</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Сервисы и отказы</w:t>
            </w:r>
          </w:p>
        </w:tc>
        <w:tc>
          <w:tcPr>
            <w:tcW w:type="dxa" w:w="544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недоступность базы данных: /health/ready — 503, /health/live — 200; после восстановления — 200</w:t>
            </w:r>
          </w:p>
        </w:tc>
        <w:tc>
          <w:tcPr>
            <w:tcW w:type="dxa" w:w="161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пройден</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Покрытие кода модульными тестами (таблица 12) измерено встроенным средством Node.js. Модули db.js и server.js, а также сервисы въезда, выезда и оплаты, работающие с SQL, модульными тестами покрыты частично: они проверяются интеграционными тестами, покрытие которых этим средством не измеряется.</w:t>
      </w:r>
    </w:p>
    <w:p>
      <w:pPr>
        <w:keepNext/>
        <w:spacing w:after="0" w:before="240" w:line="360"/>
      </w:pPr>
      <w:r>
        <w:rPr>
          <w:rFonts w:ascii="Times New Roman" w:cs="Times New Roman" w:eastAsia="Times New Roman" w:hAnsi="Times New Roman"/>
          <w:sz w:val="28"/>
          <w:szCs w:val="28"/>
        </w:rPr>
        <w:t xml:space="preserve">Таблица 12 – Покрытие кода модульными тестами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474"/>
        <w:gridCol w:w="1626"/>
        <w:gridCol w:w="1626"/>
        <w:gridCol w:w="1629"/>
      </w:tblGrid>
      <w:tr>
        <w:trPr>
          <w:tblHeader/>
        </w:trPr>
        <w:tc>
          <w:tcPr>
            <w:tcW w:type="dxa" w:w="447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Модуль</w:t>
            </w:r>
          </w:p>
        </w:tc>
        <w:tc>
          <w:tcPr>
            <w:tcW w:type="dxa" w:w="1626"/>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Строки, %</w:t>
            </w:r>
          </w:p>
        </w:tc>
        <w:tc>
          <w:tcPr>
            <w:tcW w:type="dxa" w:w="1626"/>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Ветвления, %</w:t>
            </w:r>
          </w:p>
        </w:tc>
        <w:tc>
          <w:tcPr>
            <w:tcW w:type="dxa" w:w="162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Функции, %</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common/auth.js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94,1</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common/crud.js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97,3</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89,3</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common/errors.js, validate.js, context.js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common/metrics.js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93,4</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86,7</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78,3</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common/logger.js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62,5</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common/db.js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32,5</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81,8</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common/server.js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auth-service/authService.js</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75</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parking-service/clientsApi.js, domain/*</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w:t>
            </w:r>
          </w:p>
        </w:tc>
      </w:tr>
      <w:tr>
        <w:trPr>
          <w:cantSplit/>
        </w:trPr>
        <w:tc>
          <w:tcPr>
            <w:tcW w:type="dxa" w:w="44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Итого</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80,4</w:t>
            </w:r>
          </w:p>
        </w:tc>
        <w:tc>
          <w:tcPr>
            <w:tcW w:type="dxa" w:w="162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93,0</w:t>
            </w:r>
          </w:p>
        </w:tc>
        <w:tc>
          <w:tcPr>
            <w:tcW w:type="dxa" w:w="1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82,7</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Ошибки, обнаруженные при тестировании, наблюдении и нагрузочных испытаниях, и способы их устранения приведены в таблице 13.</w:t>
      </w:r>
    </w:p>
    <w:p>
      <w:pPr>
        <w:keepNext/>
        <w:spacing w:after="0" w:before="240" w:line="360"/>
      </w:pPr>
      <w:r>
        <w:rPr>
          <w:rFonts w:ascii="Times New Roman" w:cs="Times New Roman" w:eastAsia="Times New Roman" w:hAnsi="Times New Roman"/>
          <w:sz w:val="28"/>
          <w:szCs w:val="28"/>
        </w:rPr>
        <w:t xml:space="preserve">Таблица 13 – Обнаруженные ошибки и их устранение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1"/>
        <w:gridCol w:w="2878"/>
        <w:gridCol w:w="2158"/>
        <w:gridCol w:w="2590"/>
        <w:gridCol w:w="1298"/>
      </w:tblGrid>
      <w:tr>
        <w:trPr>
          <w:tblHeader/>
        </w:trPr>
        <w:tc>
          <w:tcPr>
            <w:tcW w:type="dxa" w:w="43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w:t>
            </w:r>
          </w:p>
        </w:tc>
        <w:tc>
          <w:tcPr>
            <w:tcW w:type="dxa" w:w="287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Ошибка</w:t>
            </w:r>
          </w:p>
        </w:tc>
        <w:tc>
          <w:tcPr>
            <w:tcW w:type="dxa" w:w="215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Как обнаружена</w:t>
            </w:r>
          </w:p>
        </w:tc>
        <w:tc>
          <w:tcPr>
            <w:tcW w:type="dxa" w:w="259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Решение</w:t>
            </w:r>
          </w:p>
        </w:tc>
        <w:tc>
          <w:tcPr>
            <w:tcW w:type="dxa" w:w="129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Статус</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После пересоздания контейнера сервиса nginx продолжал обращаться к старому IP-адресу – все запросы через веб-интерфейс завершались ответом 502</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Эксплуатация (сообщение пользователя), журнал nginx</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Адреса сервисов задаются переменными, nginx определяет их через DNS Docker (resolver 127.0.0.11)</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Некорректный JSON в теле запроса: в ответе возвращалось сообщение внутреннего парсера на английском языке</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Анализ обработки ошибок при разработке журналирования; закреплено модульным и интеграционным тестами</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Обработчик ошибок возвращает «Некорректный JSON в теле запроса»</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Сумма оплаты меньше 1 копейки округлялась до 0 и отклонялась ограничением БД с неинформативным сообщением</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Анализ граничных значений при разработке модульных тестов распределения оплаты; закреплено интеграционным тестом</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Проверка суммы (не меньше 0,01 руб.) до обращения к БД</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Полный просмотр таблицы оплат при каждом расчёте задолженности (нет индекса по внешнему ключу), полный просмотр стоянок при поиске по фрагменту номера</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Нагрузочный тест, метрики запросов к БД, EXPLAIN ANALYZE</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Индексы (db/init/05-performance.sql)</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Интеграционный тест журнала падал после нагрузочного теста: объём журнала превышал буфер 1 МБ при чтении</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Повторный прогон интеграционных тестов</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Увеличен буфер, сужено окно чтения журнала</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Метрики: пиковая память могла быть меньше текущей; запрос проверки доступности учитывался как «SELECT ?»</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Сверка метрик с фактическими значениями</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Пик пересчитывается при каждом снимке; метка по тексту запроса</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Исправлено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Сумма к оплате, показанная при выезде, устаревает, если по другому автомобилю того же клиента параллельно принята оплата: оплата отклоняется (400)</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Нагрузочный тест (2 отказа из 2 249 оплат на пике), журнал request_rejected</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Предложено: при отказе повторно запрашивать сумму и показывать оператору обновлённое значение</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Запланировано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Одновременные входы одного пользователя ждут блокировку одной строки users (UPDATE при каждом успешном входе); вход ограничен ≈ 11 в секунду из-за вычисления bcrypt в одном потоке</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Нагрузочный тест (фаза входов), журнал slow_query, задержка цикла событий 290 мс</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Предложено: не выполнять UPDATE без необходимости, вычислять bcrypt в пуле потоков (раздел 5.4)</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Запланировано</w:t>
            </w:r>
          </w:p>
        </w:tc>
      </w:tr>
      <w:tr>
        <w:trPr>
          <w:cantSplit/>
        </w:trPr>
        <w:tc>
          <w:tcPr>
            <w:tcW w:type="dxa" w:w="43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Токен заблокированного пользователя действует до истечения срока (до 8 ч)</w:t>
            </w:r>
          </w:p>
        </w:tc>
        <w:tc>
          <w:tcPr>
            <w:tcW w:type="dxa" w:w="215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Анализ сценариев безопасности</w:t>
            </w:r>
          </w:p>
        </w:tc>
        <w:tc>
          <w:tcPr>
            <w:tcW w:type="dxa" w:w="259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Предложено: короткоживущие токены и токены обновления</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Запланировано</w:t>
            </w:r>
          </w:p>
        </w:tc>
      </w:tr>
    </w:tbl>
    <w:p>
      <w:pPr>
        <w:spacing w:after="120"/>
      </w:pPr>
    </w:p>
    <w:p>
      <w:pPr>
        <w:keepNext/>
        <w:spacing w:after="120" w:before="240" w:line="360"/>
        <w:ind w:firstLine="709"/>
      </w:pPr>
      <w:r>
        <w:rPr>
          <w:rFonts w:ascii="Times New Roman" w:cs="Times New Roman" w:eastAsia="Times New Roman" w:hAnsi="Times New Roman"/>
          <w:b/>
          <w:bCs/>
          <w:sz w:val="28"/>
          <w:szCs w:val="28"/>
        </w:rPr>
        <w:t xml:space="preserve">5.2 Результаты наблюдения за работой приложения</w:t>
      </w:r>
    </w:p>
    <w:p>
      <w:pPr>
        <w:spacing w:after="0" w:before="0" w:line="360"/>
        <w:ind w:firstLine="709"/>
        <w:jc w:val="both"/>
      </w:pPr>
      <w:r>
        <w:rPr>
          <w:rFonts w:ascii="Times New Roman" w:cs="Times New Roman" w:eastAsia="Times New Roman" w:hAnsi="Times New Roman"/>
          <w:sz w:val="28"/>
          <w:szCs w:val="28"/>
        </w:rPr>
        <w:t xml:space="preserve">За три минуты работы (нагрузочный тест и прогон интеграционных тестов) сервисы записали 37 076 строк журнала: 30 423 записи о HTTP-запросах, 2 146 въездов, 2 135 выездов, 2 112 оплат, 101 успешный и 8 неудачных входов, 1 блокировку учётной записи, 16 отказов в доступе, 57 отклонённых запросов, 2 сбоя межсервисного вызова (во время теста с остановкой clients-service) и 5 медленных запросов к БД; непредвиденных ошибок (unhandled_error) не зафиксировано. Примеры записей приведены в листинге 2.</w:t>
      </w:r>
    </w:p>
    <w:p>
      <w:pPr>
        <w:keepNext/>
        <w:spacing w:after="0" w:before="240" w:line="360"/>
      </w:pPr>
      <w:r>
        <w:rPr>
          <w:rFonts w:ascii="Times New Roman" w:cs="Times New Roman" w:eastAsia="Times New Roman" w:hAnsi="Times New Roman"/>
          <w:sz w:val="28"/>
          <w:szCs w:val="28"/>
        </w:rPr>
        <w:t xml:space="preserve">Листинг 2 – Примеры записей журнала разных типов</w:t>
      </w:r>
    </w:p>
    <w:p>
      <w:pPr>
        <w:keepLines/>
        <w:shd w:fill="F2F2F2" w:color="auto" w:val="clear"/>
        <w:spacing w:after="0" w:before="0" w:line="240"/>
      </w:pPr>
      <w:r>
        <w:rPr>
          <w:rFonts w:ascii="Courier New" w:cs="Courier New" w:eastAsia="Courier New" w:hAnsi="Courier New"/>
          <w:sz w:val="18"/>
          <w:szCs w:val="18"/>
        </w:rPr>
        <w:t xml:space="preserve">{"level":"warn","service":"auth-service","event":"login_failed","login":"operator","attempt":1}</w:t>
      </w:r>
    </w:p>
    <w:p>
      <w:pPr>
        <w:keepLines/>
        <w:shd w:fill="F2F2F2" w:color="auto" w:val="clear"/>
        <w:spacing w:after="0" w:before="0" w:line="240"/>
      </w:pPr>
      <w:r>
        <w:rPr>
          <w:rFonts w:ascii="Courier New" w:cs="Courier New" w:eastAsia="Courier New" w:hAnsi="Courier New"/>
          <w:sz w:val="18"/>
          <w:szCs w:val="18"/>
        </w:rPr>
        <w:t xml:space="preserve">{"level":"warn","service":"auth-service","event":"account_locked","login":"lock_muf749fth1fb","minutes":15}</w:t>
      </w:r>
    </w:p>
    <w:p>
      <w:pPr>
        <w:keepLines/>
        <w:shd w:fill="F2F2F2" w:color="auto" w:val="clear"/>
        <w:spacing w:after="0" w:before="0" w:line="240"/>
      </w:pPr>
      <w:r>
        <w:rPr>
          <w:rFonts w:ascii="Courier New" w:cs="Courier New" w:eastAsia="Courier New" w:hAnsi="Courier New"/>
          <w:sz w:val="18"/>
          <w:szCs w:val="18"/>
        </w:rPr>
        <w:t xml:space="preserve">{"level":"warn","service":"auth-service","event":"access_denied","user":"petrov","role":"CLIENT",</w:t>
      </w:r>
    </w:p>
    <w:p>
      <w:pPr>
        <w:keepLines/>
        <w:shd w:fill="F2F2F2" w:color="auto" w:val="clear"/>
        <w:spacing w:after="0" w:before="0" w:line="240"/>
      </w:pPr>
      <w:r>
        <w:rPr>
          <w:rFonts w:ascii="Courier New" w:cs="Courier New" w:eastAsia="Courier New" w:hAnsi="Courier New"/>
          <w:sz w:val="18"/>
          <w:szCs w:val="18"/>
        </w:rPr>
        <w:t xml:space="preserve"> "method":"GET","path":"/api/users"}</w:t>
      </w:r>
    </w:p>
    <w:p>
      <w:pPr>
        <w:keepLines/>
        <w:shd w:fill="F2F2F2" w:color="auto" w:val="clear"/>
        <w:spacing w:after="0" w:before="0" w:line="240"/>
      </w:pPr>
      <w:r>
        <w:rPr>
          <w:rFonts w:ascii="Courier New" w:cs="Courier New" w:eastAsia="Courier New" w:hAnsi="Courier New"/>
          <w:sz w:val="18"/>
          <w:szCs w:val="18"/>
        </w:rPr>
        <w:t xml:space="preserve">{"level":"info","service":"auth-service","event":"record_created","user":"admin","table":"users","id":9}</w:t>
      </w:r>
    </w:p>
    <w:p>
      <w:pPr>
        <w:keepLines/>
        <w:shd w:fill="F2F2F2" w:color="auto" w:val="clear"/>
        <w:spacing w:after="0" w:before="0" w:line="240"/>
      </w:pPr>
      <w:r>
        <w:rPr>
          <w:rFonts w:ascii="Courier New" w:cs="Courier New" w:eastAsia="Courier New" w:hAnsi="Courier New"/>
          <w:sz w:val="18"/>
          <w:szCs w:val="18"/>
        </w:rPr>
        <w:t xml:space="preserve">{"level":"info","service":"parking-service","event":"car_exit","user":"operator","session_id":1002766,</w:t>
      </w:r>
    </w:p>
    <w:p>
      <w:pPr>
        <w:keepLines/>
        <w:shd w:fill="F2F2F2" w:color="auto" w:val="clear"/>
        <w:spacing w:after="0" w:before="0" w:line="240"/>
      </w:pPr>
      <w:r>
        <w:rPr>
          <w:rFonts w:ascii="Courier New" w:cs="Courier New" w:eastAsia="Courier New" w:hAnsi="Courier New"/>
          <w:sz w:val="18"/>
          <w:szCs w:val="18"/>
        </w:rPr>
        <w:t xml:space="preserve"> "plate":"Р4806ОР99","minutes":107,"cost":160,"amount_due":1760}</w:t>
      </w:r>
    </w:p>
    <w:p>
      <w:pPr>
        <w:keepLines/>
        <w:shd w:fill="F2F2F2" w:color="auto" w:val="clear"/>
        <w:spacing w:after="0" w:before="0" w:line="240"/>
      </w:pPr>
      <w:r>
        <w:rPr>
          <w:rFonts w:ascii="Courier New" w:cs="Courier New" w:eastAsia="Courier New" w:hAnsi="Courier New"/>
          <w:sz w:val="18"/>
          <w:szCs w:val="18"/>
        </w:rPr>
        <w:t xml:space="preserve">{"level":"info","service":"parking-service","event":"payment_accepted","receipt_no":508704,</w:t>
      </w:r>
    </w:p>
    <w:p>
      <w:pPr>
        <w:keepLines/>
        <w:shd w:fill="F2F2F2" w:color="auto" w:val="clear"/>
        <w:spacing w:after="0" w:before="0" w:line="240"/>
      </w:pPr>
      <w:r>
        <w:rPr>
          <w:rFonts w:ascii="Courier New" w:cs="Courier New" w:eastAsia="Courier New" w:hAnsi="Courier New"/>
          <w:sz w:val="18"/>
          <w:szCs w:val="18"/>
        </w:rPr>
        <w:t xml:space="preserve"> "client_id":104806,"amount":1760,"method":"CARD","debt_after":0}</w:t>
      </w:r>
    </w:p>
    <w:p>
      <w:pPr>
        <w:keepLines/>
        <w:shd w:fill="F2F2F2" w:color="auto" w:val="clear"/>
        <w:spacing w:after="0" w:before="0" w:line="240"/>
      </w:pPr>
      <w:r>
        <w:rPr>
          <w:rFonts w:ascii="Courier New" w:cs="Courier New" w:eastAsia="Courier New" w:hAnsi="Courier New"/>
          <w:sz w:val="18"/>
          <w:szCs w:val="18"/>
        </w:rPr>
        <w:t xml:space="preserve">{"level":"warn","service":"parking-service","event":"external_call_failed","target":"clients-service",</w:t>
      </w:r>
    </w:p>
    <w:p>
      <w:pPr>
        <w:keepLines/>
        <w:shd w:fill="F2F2F2" w:color="auto" w:val="clear"/>
        <w:spacing w:after="0" w:before="0" w:line="240"/>
      </w:pPr>
      <w:r>
        <w:rPr>
          <w:rFonts w:ascii="Courier New" w:cs="Courier New" w:eastAsia="Courier New" w:hAnsi="Courier New"/>
          <w:sz w:val="18"/>
          <w:szCs w:val="18"/>
        </w:rPr>
        <w:t xml:space="preserve"> "attempt":1,"reason":"fetch failed"}</w:t>
      </w:r>
    </w:p>
    <w:p>
      <w:pPr>
        <w:keepLines/>
        <w:shd w:fill="F2F2F2" w:color="auto" w:val="clear"/>
        <w:spacing w:after="0" w:before="0" w:line="240"/>
      </w:pPr>
      <w:r>
        <w:rPr>
          <w:rFonts w:ascii="Courier New" w:cs="Courier New" w:eastAsia="Courier New" w:hAnsi="Courier New"/>
          <w:sz w:val="18"/>
          <w:szCs w:val="18"/>
        </w:rPr>
        <w:t xml:space="preserve">{"level":"warn","service":"auth-service","event":"slow_query","query":"UPDATE users","duration_ms":238,</w:t>
      </w:r>
    </w:p>
    <w:p>
      <w:pPr>
        <w:keepLines/>
        <w:shd w:fill="F2F2F2" w:color="auto" w:val="clear"/>
        <w:spacing w:after="0" w:before="0" w:line="240"/>
      </w:pPr>
      <w:r>
        <w:rPr>
          <w:rFonts w:ascii="Courier New" w:cs="Courier New" w:eastAsia="Courier New" w:hAnsi="Courier New"/>
          <w:sz w:val="18"/>
          <w:szCs w:val="18"/>
        </w:rPr>
        <w:t xml:space="preserve"> "sql":"UPDATE users SET failed_attempts = 0, locked_until = NULL WHERE id = $1"}</w:t>
      </w:r>
    </w:p>
    <w:p>
      <w:pPr>
        <w:keepLines/>
        <w:shd w:fill="F2F2F2" w:color="auto" w:val="clear"/>
        <w:spacing w:after="200" w:before="0" w:line="240"/>
      </w:pPr>
      <w:r>
        <w:rPr>
          <w:rFonts w:ascii="Courier New" w:cs="Courier New" w:eastAsia="Courier New" w:hAnsi="Courier New"/>
          <w:sz w:val="18"/>
          <w:szCs w:val="18"/>
        </w:rPr>
        <w:t xml:space="preserve">(поля time и requestId опущены для краткости)</w:t>
      </w:r>
    </w:p>
    <w:p>
      <w:pPr>
        <w:spacing w:after="0" w:before="0" w:line="360"/>
        <w:ind w:firstLine="709"/>
        <w:jc w:val="both"/>
      </w:pPr>
      <w:r>
        <w:rPr>
          <w:rFonts w:ascii="Times New Roman" w:cs="Times New Roman" w:eastAsia="Times New Roman" w:hAnsi="Times New Roman"/>
          <w:sz w:val="28"/>
          <w:szCs w:val="28"/>
        </w:rPr>
        <w:t xml:space="preserve">Как интерпретировать журнал: рост числа login_failed для одного логина указывает на подбор пароля; access_denied – на ошибку настройки прав или попытку несанкционированного доступа; external_call_failed – на недоступность clients-service; slow_query указывает конкретный медленный запрос и время, а по requestId находится действие пользователя, которое его вызвало.</w:t>
      </w:r>
    </w:p>
    <w:p>
      <w:pPr>
        <w:spacing w:after="0" w:before="0" w:line="360"/>
        <w:ind w:firstLine="709"/>
        <w:jc w:val="both"/>
      </w:pPr>
      <w:r>
        <w:rPr>
          <w:rFonts w:ascii="Times New Roman" w:cs="Times New Roman" w:eastAsia="Times New Roman" w:hAnsi="Times New Roman"/>
          <w:sz w:val="28"/>
          <w:szCs w:val="28"/>
        </w:rPr>
        <w:t xml:space="preserve">Показатели при средней нагрузке (исходная схема БД) приведены в таблице 14. При 10 операторах система обрабатывает 29,7 запр/с без ошибок; время ответа большинства операций – десятки миллисекунд, самые медленные – поиск по фрагменту номера (p95 358,6 мс) и оплата (p95 302,9 мс). Требование ЛР № 1 (не более 2 с) выполняется с запасом, однако база данных уже загружает в среднем 479,5 % процессорного времени (около 5 ядер).</w:t>
      </w:r>
    </w:p>
    <w:p>
      <w:pPr>
        <w:keepNext/>
        <w:spacing w:after="0" w:before="240" w:line="360"/>
      </w:pPr>
      <w:r>
        <w:rPr>
          <w:rFonts w:ascii="Times New Roman" w:cs="Times New Roman" w:eastAsia="Times New Roman" w:hAnsi="Times New Roman"/>
          <w:sz w:val="28"/>
          <w:szCs w:val="28"/>
        </w:rPr>
        <w:t xml:space="preserve">Таблица 14 – Время ответа при средней нагрузке (10 пользователей, исходная схема БД), мс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97"/>
        <w:gridCol w:w="1013"/>
        <w:gridCol w:w="1169"/>
        <w:gridCol w:w="1091"/>
        <w:gridCol w:w="1091"/>
        <w:gridCol w:w="1094"/>
      </w:tblGrid>
      <w:tr>
        <w:trPr>
          <w:tblHeader/>
        </w:trPr>
        <w:tc>
          <w:tcPr>
            <w:tcW w:type="dxa" w:w="389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Операция</w:t>
            </w:r>
          </w:p>
        </w:tc>
        <w:tc>
          <w:tcPr>
            <w:tcW w:type="dxa" w:w="101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Кол-во</w:t>
            </w:r>
          </w:p>
        </w:tc>
        <w:tc>
          <w:tcPr>
            <w:tcW w:type="dxa" w:w="116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Среднее</w:t>
            </w:r>
          </w:p>
        </w:tc>
        <w:tc>
          <w:tcPr>
            <w:tcW w:type="dxa" w:w="109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p95</w:t>
            </w:r>
          </w:p>
        </w:tc>
        <w:tc>
          <w:tcPr>
            <w:tcW w:type="dxa" w:w="109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p99</w:t>
            </w:r>
          </w:p>
        </w:tc>
        <w:tc>
          <w:tcPr>
            <w:tcW w:type="dxa" w:w="109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Макс.</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стоянок по фрагменту номера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166</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237,4</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358,6</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400,4</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608</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Оплата с распределением</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78</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192,5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302,9</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323,7</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323,7</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Выезд с расчётом стоимости</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78</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118,8</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204,1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237,7</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237,7</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Задолженность клиента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75</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100,3</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167,3</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304,6</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304,6</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Личный кабинет владельца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89,9</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148,8</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148,8</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Въезд (parking → clients)</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78</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56,2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144,1</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144,1</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клиентов по ФИО</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69</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33,8</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144,3</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144,3</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Список автомобилей на стоянке</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117</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42,5</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106,1</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План стоянки (места)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104</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11,8</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109,6</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196,7</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Автозаполнение по госномеру</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107</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11,4</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14,3</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102,3</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Показатели при пиковой нагрузке – в таблицах 15 и 16. При 100 одновременных пользователях пропускная способность составила 113,3 запр/с, ошибок нет, но среднее время ответа выросло в 5–80 раз: p95 большинства операций – 1,1–2,5 с, личного кабинета – 3,5 с, то есть требование «не более 2 с» нарушается.</w:t>
      </w:r>
    </w:p>
    <w:p>
      <w:pPr>
        <w:keepNext/>
        <w:spacing w:after="0" w:before="240" w:line="360"/>
      </w:pPr>
      <w:r>
        <w:rPr>
          <w:rFonts w:ascii="Times New Roman" w:cs="Times New Roman" w:eastAsia="Times New Roman" w:hAnsi="Times New Roman"/>
          <w:sz w:val="28"/>
          <w:szCs w:val="28"/>
        </w:rPr>
        <w:t xml:space="preserve">Таблица 15 – Время ответа при пиковой нагрузке (100 пользователей, исходная схема БД), мс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97"/>
        <w:gridCol w:w="1013"/>
        <w:gridCol w:w="1169"/>
        <w:gridCol w:w="1091"/>
        <w:gridCol w:w="1091"/>
        <w:gridCol w:w="1094"/>
      </w:tblGrid>
      <w:tr>
        <w:trPr>
          <w:tblHeader/>
        </w:trPr>
        <w:tc>
          <w:tcPr>
            <w:tcW w:type="dxa" w:w="389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Операция</w:t>
            </w:r>
          </w:p>
        </w:tc>
        <w:tc>
          <w:tcPr>
            <w:tcW w:type="dxa" w:w="101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Кол-во</w:t>
            </w:r>
          </w:p>
        </w:tc>
        <w:tc>
          <w:tcPr>
            <w:tcW w:type="dxa" w:w="116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Среднее</w:t>
            </w:r>
          </w:p>
        </w:tc>
        <w:tc>
          <w:tcPr>
            <w:tcW w:type="dxa" w:w="109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p95</w:t>
            </w:r>
          </w:p>
        </w:tc>
        <w:tc>
          <w:tcPr>
            <w:tcW w:type="dxa" w:w="109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p99</w:t>
            </w:r>
          </w:p>
        </w:tc>
        <w:tc>
          <w:tcPr>
            <w:tcW w:type="dxa" w:w="109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Макс.</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Личный кабинет владельца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157</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1847,1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3511,3</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4201,9</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4291,5</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Выезд с расчётом стоимости</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291</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1691,5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2517</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3374,9</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3531,9</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стоянок по фрагменту номера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576</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1165,5</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2382,4</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2840,5</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3590,1</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Въезд (parking → clients)</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291</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904,7</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1943,2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2561,7</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2582,1</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Задолженность клиента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312</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939,7</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1935,7</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2188</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2347,9</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Список автомобилей на стоянке</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434</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871,2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1910,1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2087,9</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2262</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План стоянки (места)</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465</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848,7</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1586,9</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2034</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2135,5</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Оплата с распределением</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291</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889,6</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1142,2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1251,1</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2539,3</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клиентов по ФИО</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281</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41,6</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125,9</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488,3</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524</w:t>
            </w:r>
          </w:p>
        </w:tc>
      </w:tr>
      <w:tr>
        <w:trPr>
          <w:cantSplit/>
        </w:trPr>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Автозаполнение по госномеру</w:t>
            </w:r>
          </w:p>
        </w:tc>
        <w:tc>
          <w:tcPr>
            <w:tcW w:type="dxa" w:w="101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439</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17,2</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41,1</w:t>
            </w:r>
          </w:p>
        </w:tc>
        <w:tc>
          <w:tcPr>
            <w:tcW w:type="dxa" w:w="109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311,6</w:t>
            </w:r>
          </w:p>
        </w:tc>
        <w:tc>
          <w:tcPr>
            <w:tcW w:type="dxa" w:w="10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522,9</w:t>
            </w:r>
          </w:p>
        </w:tc>
      </w:tr>
    </w:tbl>
    <w:p>
      <w:pPr>
        <w:spacing w:after="120"/>
      </w:pPr>
    </w:p>
    <w:p>
      <w:pPr>
        <w:keepNext/>
        <w:spacing w:after="0" w:before="240" w:line="360"/>
      </w:pPr>
      <w:r>
        <w:rPr>
          <w:rFonts w:ascii="Times New Roman" w:cs="Times New Roman" w:eastAsia="Times New Roman" w:hAnsi="Times New Roman"/>
          <w:sz w:val="28"/>
          <w:szCs w:val="28"/>
        </w:rPr>
        <w:t xml:space="preserve">Таблица 16 – Показатели сервисов при пиковой нагрузке (исходная схема БД)</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1"/>
        <w:gridCol w:w="1415"/>
        <w:gridCol w:w="1415"/>
        <w:gridCol w:w="1415"/>
        <w:gridCol w:w="1336"/>
        <w:gridCol w:w="1573"/>
      </w:tblGrid>
      <w:tr>
        <w:trPr>
          <w:tblHeader/>
        </w:trPr>
        <w:tc>
          <w:tcPr>
            <w:tcW w:type="dxa" w:w="220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Компонент</w:t>
            </w:r>
          </w:p>
        </w:tc>
        <w:tc>
          <w:tcPr>
            <w:tcW w:type="dxa" w:w="1415"/>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Одновр. запросов, макс.</w:t>
            </w:r>
          </w:p>
        </w:tc>
        <w:tc>
          <w:tcPr>
            <w:tcW w:type="dxa" w:w="1415"/>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Память RSS, пик, МБ</w:t>
            </w:r>
          </w:p>
        </w:tc>
        <w:tc>
          <w:tcPr>
            <w:tcW w:type="dxa" w:w="1415"/>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Задержка цикла p99, мс</w:t>
            </w:r>
          </w:p>
        </w:tc>
        <w:tc>
          <w:tcPr>
            <w:tcW w:type="dxa" w:w="1336"/>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Ожидание пула, макс.</w:t>
            </w:r>
          </w:p>
        </w:tc>
        <w:tc>
          <w:tcPr>
            <w:tcW w:type="dxa" w:w="157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CPU ср. / макс., %</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73,84</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12,46</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0,9 / 4,3</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clients-service</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104,52</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12,9</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10,2 / 25,3</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parking-service</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101</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215,47</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13,83</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91</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20,6 / 26,4</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PostgreSQL (db)</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308,7</w:t>
            </w:r>
          </w:p>
        </w:tc>
        <w:tc>
          <w:tcPr>
            <w:tcW w:type="dxa" w:w="141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1090,5 / 1118,6</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Наиболее затратные запросы parking-service к БД при пиковой нагрузке – в таблице 17: за 30 с запросы к таблице стоянок заняли в сумме более 180 с работы соединений.</w:t>
      </w:r>
    </w:p>
    <w:p>
      <w:pPr>
        <w:keepNext/>
        <w:spacing w:after="0" w:before="240" w:line="360"/>
      </w:pPr>
      <w:r>
        <w:rPr>
          <w:rFonts w:ascii="Times New Roman" w:cs="Times New Roman" w:eastAsia="Times New Roman" w:hAnsi="Times New Roman"/>
          <w:sz w:val="28"/>
          <w:szCs w:val="28"/>
        </w:rPr>
        <w:t xml:space="preserve">Таблица 17 – Запросы parking-service к БД при пиковой нагрузке (исходная схема)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29"/>
        <w:gridCol w:w="1209"/>
        <w:gridCol w:w="1612"/>
        <w:gridCol w:w="1451"/>
        <w:gridCol w:w="1454"/>
      </w:tblGrid>
      <w:tr>
        <w:trPr>
          <w:tblHeader/>
        </w:trPr>
        <w:tc>
          <w:tcPr>
            <w:tcW w:type="dxa" w:w="362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Запрос</w:t>
            </w:r>
          </w:p>
        </w:tc>
        <w:tc>
          <w:tcPr>
            <w:tcW w:type="dxa" w:w="1209"/>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Кол-во</w:t>
            </w:r>
          </w:p>
        </w:tc>
        <w:tc>
          <w:tcPr>
            <w:tcW w:type="dxa" w:w="1612"/>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Среднее, мс</w:t>
            </w:r>
          </w:p>
        </w:tc>
        <w:tc>
          <w:tcPr>
            <w:tcW w:type="dxa" w:w="1451"/>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p95, мс</w:t>
            </w:r>
          </w:p>
        </w:tc>
        <w:tc>
          <w:tcPr>
            <w:tcW w:type="dxa" w:w="145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Сумма, с</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SELECT parking_sessions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2622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71,8</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425,8</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188,3</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SELECT session_balances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1342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83</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138,6</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111,4</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UPDATE parking_sessions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2024</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0,7</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2,2</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1,5</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SELECT parking_spots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756</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1,7</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4,8</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INSERT payments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1733</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0,7</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2,4</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1,3</w:t>
            </w:r>
          </w:p>
        </w:tc>
      </w:tr>
      <w:tr>
        <w:trPr>
          <w:cantSplit/>
        </w:trPr>
        <w:tc>
          <w:tcPr>
            <w:tcW w:type="dxa" w:w="36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UPDATE parking_spots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582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0,8</w:t>
            </w:r>
          </w:p>
        </w:tc>
        <w:tc>
          <w:tcPr>
            <w:tcW w:type="dxa" w:w="145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2,4</w:t>
            </w:r>
          </w:p>
        </w:tc>
        <w:tc>
          <w:tcPr>
            <w:tcW w:type="dxa" w:w="145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0,5</w:t>
            </w:r>
          </w:p>
        </w:tc>
      </w:tr>
    </w:tbl>
    <w:p>
      <w:pPr>
        <w:spacing w:after="120"/>
      </w:pPr>
    </w:p>
    <w:p>
      <w:pPr>
        <w:keepNext/>
        <w:spacing w:after="120" w:before="240" w:line="360"/>
        <w:ind w:firstLine="709"/>
      </w:pPr>
      <w:r>
        <w:rPr>
          <w:rFonts w:ascii="Times New Roman" w:cs="Times New Roman" w:eastAsia="Times New Roman" w:hAnsi="Times New Roman"/>
          <w:b/>
          <w:bCs/>
          <w:sz w:val="28"/>
          <w:szCs w:val="28"/>
        </w:rPr>
        <w:t xml:space="preserve">5.3 Анализ производительности</w:t>
      </w:r>
    </w:p>
    <w:p>
      <w:pPr>
        <w:spacing w:after="0" w:before="0" w:line="360"/>
        <w:ind w:firstLine="709"/>
        <w:jc w:val="both"/>
      </w:pPr>
      <w:r>
        <w:rPr>
          <w:rFonts w:ascii="Times New Roman" w:cs="Times New Roman" w:eastAsia="Times New Roman" w:hAnsi="Times New Roman"/>
          <w:sz w:val="28"/>
          <w:szCs w:val="28"/>
        </w:rPr>
        <w:t xml:space="preserve">Выявленные ограничения производительности, их причины и влияние сведены в таблицу 18.</w:t>
      </w:r>
    </w:p>
    <w:p>
      <w:pPr>
        <w:keepNext/>
        <w:spacing w:after="0" w:before="240" w:line="360"/>
      </w:pPr>
      <w:r>
        <w:rPr>
          <w:rFonts w:ascii="Times New Roman" w:cs="Times New Roman" w:eastAsia="Times New Roman" w:hAnsi="Times New Roman"/>
          <w:sz w:val="28"/>
          <w:szCs w:val="28"/>
        </w:rPr>
        <w:t xml:space="preserve">Таблица 18 – Ограничения производительности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30"/>
        <w:gridCol w:w="2524"/>
        <w:gridCol w:w="2524"/>
        <w:gridCol w:w="2377"/>
      </w:tblGrid>
      <w:tr>
        <w:trPr>
          <w:tblHeader/>
        </w:trPr>
        <w:tc>
          <w:tcPr>
            <w:tcW w:type="dxa" w:w="193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Компонент</w:t>
            </w:r>
          </w:p>
        </w:tc>
        <w:tc>
          <w:tcPr>
            <w:tcW w:type="dxa" w:w="252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Признаки (метрики)</w:t>
            </w:r>
          </w:p>
        </w:tc>
        <w:tc>
          <w:tcPr>
            <w:tcW w:type="dxa" w:w="252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Причина</w:t>
            </w:r>
          </w:p>
        </w:tc>
        <w:tc>
          <w:tcPr>
            <w:tcW w:type="dxa" w:w="237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Влияние</w:t>
            </w:r>
          </w:p>
        </w:tc>
      </w:tr>
      <w:tr>
        <w:trPr>
          <w:cantSplit/>
        </w:trPr>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База данных (запросы к parking_sessions и payments)</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CPU СУБД до 1118,6 % (≈ 11 ядер из 12); SELECT parking_sessions – наибольшее суммарное время</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Полные просмотры больших таблиц: нет индексов для поиска по подстроке, сортировки по времени и внешнего ключа оплат</w:t>
            </w:r>
          </w:p>
        </w:tc>
        <w:tc>
          <w:tcPr>
            <w:tcW w:type="dxa" w:w="23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Главное узкое место: время ответа на пике 1–3,5 с, нарушение НФТ «не более 2 с»</w:t>
            </w:r>
          </w:p>
        </w:tc>
      </w:tr>
      <w:tr>
        <w:trPr>
          <w:cantSplit/>
        </w:trPr>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Пул соединений parking-service (10 соединений)</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Одновременных запросов до 101, ожидающих соединения – до 91</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Каждый медленный запрос занимает соединение; остальные ждут в очереди</w:t>
            </w:r>
          </w:p>
        </w:tc>
        <w:tc>
          <w:tcPr>
            <w:tcW w:type="dxa" w:w="23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Даже простые запросы (план стоянки, 1 мс в БД) отвечают за 1,6 с – время уходит на ожидание</w:t>
            </w:r>
          </w:p>
        </w:tc>
      </w:tr>
      <w:tr>
        <w:trPr>
          <w:cantSplit/>
        </w:trPr>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Процессор parking-service (после оптимизации БД)</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CPU 97,8 % в среднем (одно ядро занято полностью)</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Node.js выполняет JavaScript в одном потоке; один экземпляр сервиса</w:t>
            </w:r>
          </w:p>
        </w:tc>
        <w:tc>
          <w:tcPr>
            <w:tcW w:type="dxa" w:w="23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Предел ≈ 908 запр/с; следующее узкое место после устранения первого</w:t>
            </w:r>
          </w:p>
        </w:tc>
      </w:tr>
      <w:tr>
        <w:trPr>
          <w:cantSplit/>
        </w:trPr>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auth-service: вход в систему</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 11,2 входов/с, CPU 85–100 % одного ядра, задержка цикла событий p99 289,14 мс, slow_query для UPDATE users</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bcrypt (стоимость 10) вычисляется на JavaScript в основном потоке; блокировка одной строки users при одновременных входах</w:t>
            </w:r>
          </w:p>
        </w:tc>
        <w:tc>
          <w:tcPr>
            <w:tcW w:type="dxa" w:w="23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 начале смены вход занимает до 2–3 с; остальные запросы auth-service в это время тоже замедляются</w:t>
            </w:r>
          </w:p>
        </w:tc>
      </w:tr>
      <w:tr>
        <w:trPr>
          <w:cantSplit/>
        </w:trPr>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Межсервисный вызов parking → clients</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Автозаполнение: p95 41,1 мс на пике</w:t>
            </w:r>
          </w:p>
        </w:tc>
        <w:tc>
          <w:tcPr>
            <w:tcW w:type="dxa" w:w="252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Дополнительный сетевой вызов при каждом въезде и выезде</w:t>
            </w:r>
          </w:p>
        </w:tc>
        <w:tc>
          <w:tcPr>
            <w:tcW w:type="dxa" w:w="23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Незначительно при текущей нагрузке; при отказе clients-service въезд и выезд недоступны</w:t>
            </w:r>
          </w:p>
        </w:tc>
      </w:tr>
    </w:tbl>
    <w:p>
      <w:pPr>
        <w:spacing w:after="120"/>
      </w:pPr>
    </w:p>
    <w:p>
      <w:pPr>
        <w:spacing w:after="0" w:before="0" w:line="360"/>
        <w:ind w:firstLine="709"/>
        <w:jc w:val="both"/>
      </w:pPr>
      <w:r>
        <w:rPr>
          <w:rFonts w:ascii="Times New Roman" w:cs="Times New Roman" w:eastAsia="Times New Roman" w:hAnsi="Times New Roman"/>
          <w:b/>
          <w:bCs/>
          <w:sz w:val="28"/>
          <w:szCs w:val="28"/>
        </w:rPr>
        <w:t xml:space="preserve">Средняя и пиковая нагрузка.</w:t>
      </w:r>
      <w:r>
        <w:rPr>
          <w:rFonts w:ascii="Times New Roman" w:cs="Times New Roman" w:eastAsia="Times New Roman" w:hAnsi="Times New Roman"/>
          <w:sz w:val="28"/>
          <w:szCs w:val="28"/>
        </w:rPr>
        <w:t xml:space="preserve"> Средняя нагрузка (смена из 10 операторов, ≈ 30 запр/с) обслуживается с запасом: p95 всех операций менее 0,4 с. Требование ЛР № 1 (20 одновременно работающих пользователей, отклик не более 2 с) на исходной схеме подтверждено для 10 пользователей, а после оптимизации – и для 100. Пиковая нагрузка (100 пользователей без пауз) значительно превышает реальную нагрузку на одну стоянку, но показывает предел системы: на исходной схеме он наступает при ≈ 113 запр/с из-за СУБД. Проблемы определены по метрикам без изменения кода, что подтверждает полезность реализованных средств наблюдения.</w:t>
      </w:r>
    </w:p>
    <w:p>
      <w:pPr>
        <w:spacing w:after="0" w:before="0" w:line="360"/>
        <w:ind w:firstLine="709"/>
        <w:jc w:val="both"/>
      </w:pPr>
      <w:r>
        <w:rPr>
          <w:rFonts w:ascii="Times New Roman" w:cs="Times New Roman" w:eastAsia="Times New Roman" w:hAnsi="Times New Roman"/>
          <w:sz w:val="28"/>
          <w:szCs w:val="28"/>
        </w:rPr>
        <w:t xml:space="preserve">После добавления индексов (раздел 4.5) нагрузочный тест повторён с теми же параметрами. Сравнение приведено на рисунке 1 и в таблице 19: при пиковой нагрузке пропускная способность выросла с 113,3 до 908,1 запр/с (в 8 раза), p95 всех операций снизилось до 0,2 с, загрузка СУБД – с 1090,5 до 285,8 %. Узким местом стал процессор parking-service, что обосновывает предложение о горизонтальном масштабировании (раздел 5.4).</w:t>
      </w:r>
    </w:p>
    <w:p>
      <w:pPr>
        <w:keepNext/>
        <w:spacing w:after="0" w:before="120"/>
        <w:jc w:val="center"/>
      </w:pPr>
      <w:r>
        <w:drawing>
          <wp:inline distT="0" distB="0" distL="0" distR="0">
            <wp:extent cx="5715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622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8"/>
          <w:szCs w:val="28"/>
        </w:rPr>
        <w:t xml:space="preserve">Рисунок 1 – Время ответа p95 при пиковой нагрузке (100 пользователей) до и после добавления индексов</w:t>
      </w:r>
    </w:p>
    <w:p>
      <w:pPr>
        <w:keepNext/>
        <w:spacing w:after="0" w:before="240" w:line="360"/>
      </w:pPr>
      <w:r>
        <w:rPr>
          <w:rFonts w:ascii="Times New Roman" w:cs="Times New Roman" w:eastAsia="Times New Roman" w:hAnsi="Times New Roman"/>
          <w:sz w:val="28"/>
          <w:szCs w:val="28"/>
        </w:rPr>
        <w:t xml:space="preserve">Таблица 19 – Сравнение показателей при пиковой нагрузке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677"/>
        <w:gridCol w:w="2338"/>
        <w:gridCol w:w="2340"/>
      </w:tblGrid>
      <w:tr>
        <w:trPr>
          <w:tblHeader/>
        </w:trPr>
        <w:tc>
          <w:tcPr>
            <w:tcW w:type="dxa" w:w="467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Показатель</w:t>
            </w:r>
          </w:p>
        </w:tc>
        <w:tc>
          <w:tcPr>
            <w:tcW w:type="dxa" w:w="233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До оптимизации</w:t>
            </w:r>
          </w:p>
        </w:tc>
        <w:tc>
          <w:tcPr>
            <w:tcW w:type="dxa" w:w="234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После оптимизации</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Пропускная способность, запр/с</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113,3</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908,1</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Выполнено запросов за 30 с</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3537</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27379</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Ошибки (5xx и сетевые)</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0</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 (отказы оплаты, ошибка № 7)</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p95 самой медленной операции, мс</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3511,3</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218,5</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CPU СУБД, среднее, %</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1090,5</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285,8</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CPU parking-service, среднее, %</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20,6</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97,8</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Ожидание соединения в пуле parking-service, макс.</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91</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29</w:t>
            </w:r>
          </w:p>
        </w:tc>
      </w:tr>
      <w:tr>
        <w:trPr>
          <w:cantSplit/>
        </w:trPr>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Память parking-service, пик, МБ</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215,47</w:t>
            </w:r>
          </w:p>
        </w:tc>
        <w:tc>
          <w:tcPr>
            <w:tcW w:type="dxa" w:w="234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264,71</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Потребление памяти невелико и стабильно: 75–265 МБ на сервис при пиковой нагрузке и около 300 МБ у СУБД. При средней нагрузке parking-service занимает 115–120 МБ, на пике – больше за счёт большего числа одновременно обрабатываемых ответов. Для вывода об отсутствии утечек памяти требуются длительные испытания (например, 8 ч – одна смена), которые в рамках работы не проводились.</w:t>
      </w:r>
    </w:p>
    <w:p>
      <w:pPr>
        <w:keepNext/>
        <w:spacing w:after="120" w:before="240" w:line="360"/>
        <w:ind w:firstLine="709"/>
      </w:pPr>
      <w:r>
        <w:rPr>
          <w:rFonts w:ascii="Times New Roman" w:cs="Times New Roman" w:eastAsia="Times New Roman" w:hAnsi="Times New Roman"/>
          <w:b/>
          <w:bCs/>
          <w:sz w:val="28"/>
          <w:szCs w:val="28"/>
        </w:rPr>
        <w:t xml:space="preserve">5.4 Рекомендации по повышению эффективности и надёжности</w:t>
      </w:r>
    </w:p>
    <w:p>
      <w:pPr>
        <w:spacing w:after="0" w:before="0" w:line="360"/>
        <w:ind w:firstLine="709"/>
        <w:jc w:val="both"/>
      </w:pPr>
      <w:r>
        <w:rPr>
          <w:rFonts w:ascii="Times New Roman" w:cs="Times New Roman" w:eastAsia="Times New Roman" w:hAnsi="Times New Roman"/>
          <w:sz w:val="28"/>
          <w:szCs w:val="28"/>
        </w:rPr>
        <w:t xml:space="preserve">Предлагаемые меры по повышению производительности с учётом архитектуры ЛР № 1 и № 2 (микросервисы без состояния, JWT, PostgreSQL, nginx) приведены в таблице 20.</w:t>
      </w:r>
    </w:p>
    <w:p>
      <w:pPr>
        <w:keepNext/>
        <w:spacing w:after="0" w:before="240" w:line="360"/>
      </w:pPr>
      <w:r>
        <w:rPr>
          <w:rFonts w:ascii="Times New Roman" w:cs="Times New Roman" w:eastAsia="Times New Roman" w:hAnsi="Times New Roman"/>
          <w:sz w:val="28"/>
          <w:szCs w:val="28"/>
        </w:rPr>
        <w:t xml:space="preserve">Таблица 20 – Меры по повышению производительности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47"/>
        <w:gridCol w:w="2453"/>
        <w:gridCol w:w="3527"/>
        <w:gridCol w:w="1228"/>
      </w:tblGrid>
      <w:tr>
        <w:trPr>
          <w:tblHeader/>
        </w:trPr>
        <w:tc>
          <w:tcPr>
            <w:tcW w:type="dxa" w:w="214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Мера</w:t>
            </w:r>
          </w:p>
        </w:tc>
        <w:tc>
          <w:tcPr>
            <w:tcW w:type="dxa" w:w="2453"/>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Что даёт</w:t>
            </w:r>
          </w:p>
        </w:tc>
        <w:tc>
          <w:tcPr>
            <w:tcW w:type="dxa" w:w="352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Как реализовать</w:t>
            </w:r>
          </w:p>
        </w:tc>
        <w:tc>
          <w:tcPr>
            <w:tcW w:type="dxa" w:w="1228"/>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Приоритет</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Индексы для частых запросов</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Устраняет главное узкое место: пропускная способность в 8 раз выше</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Выполнено и проверено: db/init/05-performance.sql. В дальнейшем – проверять планы новых запросов (EXPLAIN) и журнал slow_query</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Выполнено</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Горизонтальное масштабирование parking-service и clients-service</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Пропускная способность растёт почти пропорционально числу экземпляров (сервисы не хранят состояние: сессия – в JWT)</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Несколько экземпляров (docker compose --scale или deploy.replicas); nginx распределяет запросы (upstream с несколькими адресами, DNS Docker возвращает все экземпляры)</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Высокий</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Настройка пула соединений и PgBouncer</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Меньше очередь за соединениями; при нескольких экземплярах – ограниченное число соединений к СУБД</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Параметр PG_POOL_MAX (уже вынесен в переменную окружения); PgBouncer в режиме transaction pooling перед PostgreSQL</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Средний</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Разгрузка входа в систему</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Вход не блокирует поток auth-service, одновременные входы выполняются параллельно</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Вычислять bcrypt в пуле потоков (worker_threads или нативный модуль bcrypt); не выполнять UPDATE users при успешном входе, если сбрасывать нечего; несколько экземпляров auth-service</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Средний</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Кэширование справочных данных</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Меньше запросов к БД и к clients-service</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Кэш в памяти на 30–60 с для тарифов и плана мест; кэш «госномер → владелец, скидка» в parking-service</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Низкий</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Реплика СУБД для чтения</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Поиск, отчёты и личный кабинет не нагружают основную БД</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Потоковая репликация PostgreSQL; запросы на чтение – к реплике</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Низкий (при росте числа площадок)</w:t>
            </w:r>
          </w:p>
        </w:tc>
      </w:tr>
      <w:tr>
        <w:trPr>
          <w:cantSplit/>
        </w:trPr>
        <w:tc>
          <w:tcPr>
            <w:tcW w:type="dxa" w:w="214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Секционирование таблицы стоянок</w:t>
            </w:r>
          </w:p>
        </w:tc>
        <w:tc>
          <w:tcPr>
            <w:tcW w:type="dxa" w:w="245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Запросы и обслуживание работают с небольшими секциями; старые данные архивируются</w:t>
            </w:r>
          </w:p>
        </w:tc>
        <w:tc>
          <w:tcPr>
            <w:tcW w:type="dxa" w:w="352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PARTITION BY RANGE (entry_time) по годам; перенос секций старше 3 лет в архив</w:t>
            </w:r>
          </w:p>
        </w:tc>
        <w:tc>
          <w:tcPr>
            <w:tcW w:type="dxa" w:w="122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Низкий (при объёме более 5 млн записей)</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Для надёжности необходимо выполнить нефункциональные требования ЛР № 1: доступность 99,5 % в режиме 24/7, время восстановления не более 15 мин, ежедневное резервное копирование и потеря данных не более одной незавершённой транзакции. Предлагаемые меры – в таблице 21.</w:t>
      </w:r>
    </w:p>
    <w:p>
      <w:pPr>
        <w:keepNext/>
        <w:spacing w:after="0" w:before="240" w:line="360"/>
      </w:pPr>
      <w:r>
        <w:rPr>
          <w:rFonts w:ascii="Times New Roman" w:cs="Times New Roman" w:eastAsia="Times New Roman" w:hAnsi="Times New Roman"/>
          <w:sz w:val="28"/>
          <w:szCs w:val="28"/>
        </w:rPr>
        <w:t xml:space="preserve">Таблица 21 – Меры по повышению надёжности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4677"/>
        <w:gridCol w:w="2184"/>
      </w:tblGrid>
      <w:tr>
        <w:trPr>
          <w:tblHeader/>
        </w:trPr>
        <w:tc>
          <w:tcPr>
            <w:tcW w:type="dxa" w:w="249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Мера</w:t>
            </w:r>
          </w:p>
        </w:tc>
        <w:tc>
          <w:tcPr>
            <w:tcW w:type="dxa" w:w="4677"/>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Реализация</w:t>
            </w:r>
          </w:p>
        </w:tc>
        <w:tc>
          <w:tcPr>
            <w:tcW w:type="dxa" w:w="2184"/>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4"/>
                <w:szCs w:val="24"/>
              </w:rPr>
              <w:t xml:space="preserve">Требование ЛР № 1</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Ежедневное резервное копирование</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pg_dump каждой базы (auth_db, clients_db, parking_db) по расписанию cron в формате custom; хранение 14 копий на отдельном диске и копия вне сервера</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Ежедневное копирование</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Непрерывное архивирование журнала транзакций (WAL) и восстановление на момент времени</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pg_basebackup раз в сутки + archive_command для WAL; восстановление на любой момент (PITR). Потеря данных ограничена последней незавершённой транзакцией</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Потеря не более одной незавершённой транзакции</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Регулярная проверка восстановления</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Раз в месяц – восстановление копии на отдельном стенде (pg_restore в новую базу), прогон интеграционных тестов, замер времени восстановления</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Время восстановления ≤ 15 мин</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Резервный сервер СУБД</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Потоковая репликация на горячий резерв; автоматическое переключение (Patroni) при отказе основного сервера</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Доступность 99,5 %</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Несколько экземпляров каждого сервиса</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Отказ одного экземпляра не прерывает работу; nginx исключает неотвечающий экземпляр (max_fails, fail_timeout)</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Доступность 99,5 %, наработка на отказ</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Проверки доступности (реализовано)</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/health/live и /health/ready в каждом сервисе; healthcheck Docker каждые 10 с; автоматический перезапуск упавшего контейнера (restart: unless-stopped)</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Устойчивость к сбоям</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Внешний мониторинг и оповещение</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Периодический опрос /health/ready всех сервисов (каждые 30 с) и /metrics; оповещение при недоступности, p95 &gt; 2 с, доле ошибок &gt; 1 % или ожидании в пуле соединений дольше минуты</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Время восстановления ≤ 15 мин (раннее обнаружение)</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Устойчивость межсервисного вызова (частично реализовано)</w:t>
            </w:r>
          </w:p>
        </w:tc>
        <w:tc>
          <w:tcPr>
            <w:tcW w:type="dxa" w:w="467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Реализованы тайм-аут 2 с и повтор при отказе соединения. Предлагается автоматический выключатель (circuit breaker) и кэш данных автомобилей, чтобы въезд постоянных клиентов работал при кратковременной недоступности clients-service</w:t>
            </w:r>
          </w:p>
        </w:tc>
        <w:tc>
          <w:tcPr>
            <w:tcW w:type="dxa" w:w="218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line="240"/>
              <w:jc w:val="left"/>
            </w:pPr>
            <w:r>
              <w:rPr>
                <w:rFonts w:ascii="Times New Roman" w:cs="Times New Roman" w:eastAsia="Times New Roman" w:hAnsi="Times New Roman"/>
                <w:b w:val="false"/>
                <w:bCs w:val="false"/>
                <w:sz w:val="24"/>
                <w:szCs w:val="24"/>
              </w:rPr>
              <w:t xml:space="preserve">Устойчивость к сбоям</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Порядок восстановления при сбое: 1) проверки готовности и оповещение выявляют отказ; 2) при отказе сервиса Docker перезапускает контейнер, при отказе СУБД резервный сервер принимает нагрузку; 3) при повреждении данных последняя ежедневная копия восстанавливается командой pg_restore, затем применяется архив WAL до момента сбоя; 4) после восстановления выполняются интеграционные тесты, подтверждающие работоспособность. Так как данные каждого сервиса хранятся в отдельной базе, восстановление можно выполнять по одной базе, не останавливая остальные сервисы.</w:t>
      </w:r>
    </w:p>
    <w:p>
      <w:pPr>
        <w:keepNext/>
        <w:pageBreakBefore/>
        <w:spacing w:after="240" w:before="0" w:line="360"/>
        <w:ind w:firstLine="709"/>
      </w:pPr>
      <w:r>
        <w:rPr>
          <w:rFonts w:ascii="Times New Roman" w:cs="Times New Roman" w:eastAsia="Times New Roman" w:hAnsi="Times New Roman"/>
          <w:b/>
          <w:bCs/>
          <w:sz w:val="28"/>
          <w:szCs w:val="28"/>
        </w:rPr>
        <w:t xml:space="preserve">6 Выводы</w:t>
      </w:r>
    </w:p>
    <w:p>
      <w:pPr>
        <w:spacing w:after="0" w:before="0" w:line="360"/>
        <w:ind w:firstLine="709"/>
        <w:jc w:val="both"/>
      </w:pPr>
      <w:r>
        <w:rPr>
          <w:rFonts w:ascii="Times New Roman" w:cs="Times New Roman" w:eastAsia="Times New Roman" w:hAnsi="Times New Roman"/>
          <w:sz w:val="28"/>
          <w:szCs w:val="28"/>
        </w:rPr>
        <w:t xml:space="preserve">В ходе лабораторной работы для прототипа АИС «Автостоянка» разработаны 102 автоматизированных теста: 49 модульных (общая библиотека, расчёт стоимости, распределение оплаты, межсервисный клиент, вход в систему) и 53 интеграционных (аутентификация, матрица доступа, CRUD всех ресурсов, основной сценарий ЛР № 1, отказы сервисов и СУБД, одновременные запросы). Все тесты пройдены; покрытие кода модульными тестами – 80 % строк и 93 % ветвлений. Найдено 9 ошибок: 6 исправлено, для 3 предложены решения.</w:t>
      </w:r>
    </w:p>
    <w:p>
      <w:pPr>
        <w:spacing w:after="0" w:before="0" w:line="360"/>
        <w:ind w:firstLine="709"/>
        <w:jc w:val="both"/>
      </w:pPr>
      <w:r>
        <w:rPr>
          <w:rFonts w:ascii="Times New Roman" w:cs="Times New Roman" w:eastAsia="Times New Roman" w:hAnsi="Times New Roman"/>
          <w:sz w:val="28"/>
          <w:szCs w:val="28"/>
        </w:rPr>
        <w:t xml:space="preserve">Реализованы средства наблюдения без внешних систем: структурированный журнал в формате JSON со сквозным идентификатором запроса через nginx и все сервисы, метрики времени ответа по маршрутам (p50/p95/p99), одновременных запросов, памяти, задержки цикла событий, времени запросов к БД и межсервисных вызовов, а также проверки живости и готовности, используемые Docker для контроля состояния контейнеров.</w:t>
      </w:r>
    </w:p>
    <w:p>
      <w:pPr>
        <w:spacing w:after="0" w:before="0" w:line="360"/>
        <w:ind w:firstLine="709"/>
        <w:jc w:val="both"/>
      </w:pPr>
      <w:r>
        <w:rPr>
          <w:rFonts w:ascii="Times New Roman" w:cs="Times New Roman" w:eastAsia="Times New Roman" w:hAnsi="Times New Roman"/>
          <w:sz w:val="28"/>
          <w:szCs w:val="28"/>
        </w:rPr>
        <w:t xml:space="preserve">Нагрузочное тестирование на объёме 500 000 стоянок показало, что при средней нагрузке система соответствует требованиям ЛР № 1, а при пиковой нагрузке узким местом является СУБД: полные просмотры таблиц стоянок и оплат приводят к очереди за соединениями и времени ответа до 3,5 с. Индексы, выбранные по результатам анализа, увеличили пропускную способность с 113,3 до 908,1 запр/с и снизили p95 до 0,2 с. Следующее ограничение – один поток parking-service – снимается горизонтальным масштабированием, возможным благодаря тому, что сервисы не хранят состояния.</w:t>
      </w:r>
    </w:p>
    <w:p>
      <w:pPr>
        <w:spacing w:after="0" w:before="0" w:line="360"/>
        <w:ind w:firstLine="709"/>
        <w:jc w:val="both"/>
      </w:pPr>
      <w:r>
        <w:rPr>
          <w:rFonts w:ascii="Times New Roman" w:cs="Times New Roman" w:eastAsia="Times New Roman" w:hAnsi="Times New Roman"/>
          <w:sz w:val="28"/>
          <w:szCs w:val="28"/>
        </w:rPr>
        <w:t xml:space="preserve">Оценка готовности: прототип функционально корректен и стабилен (ошибок сервера под нагрузкой нет; при отказе clients-service или СУБД система сообщает о недоступности и восстанавливается без вмешательства), производительности достаточно для одной стоянки на 150 мест с запасом по нагрузке. Для промышленной эксплуатации необходимо выполнить предложенные меры надёжности: резервное копирование с архивом WAL и регулярной проверкой восстановления, резервный сервер СУБД, несколько экземпляров сервисов и внешний мониторинг с оповещением. Архитектура с отдельными сервисами и базами допускает масштабирование до нескольких площадок без изменения, как требовалось в ЛР № 1. Цель работы достигнута.</w:t>
      </w:r>
    </w:p>
    <w:sectPr>
      <w:footerReference w:type="default" r:id="rId7"/>
      <w:footerReference w:type="first" r:id="rId8"/>
      <w:pgSz w:w="11906" w:h="16838" w:orient="portrait"/>
      <w:pgMar w:top="1134" w:right="851" w:bottom="1134" w:left="1701"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a332a221a2d50d6ada8b3bf253a0ac93320a7d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 3 «Тестирование, наблюдение за работой и повышение эффективности программной системы»</dc:title>
  <dc:creator>Студент</dc:creator>
  <cp:lastModifiedBy>Un-named</cp:lastModifiedBy>
  <cp:revision>1</cp:revision>
  <dcterms:created xsi:type="dcterms:W3CDTF">2026-09-24T07:20:47.820Z</dcterms:created>
  <dcterms:modified xsi:type="dcterms:W3CDTF">2026-09-24T07:20:47.821Z</dcterms:modified>
</cp:coreProperties>
</file>

<file path=docProps/custom.xml><?xml version="1.0" encoding="utf-8"?>
<Properties xmlns="http://schemas.openxmlformats.org/officeDocument/2006/custom-properties" xmlns:vt="http://schemas.openxmlformats.org/officeDocument/2006/docPropsVTypes"/>
</file>