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64DF7D8F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63FD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Рулевая тяга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3E0D3032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1D68D1">
        <w:rPr>
          <w:color w:val="000000"/>
          <w:sz w:val="28"/>
          <w:szCs w:val="28"/>
          <w:lang w:val="ru-RU"/>
        </w:rPr>
        <w:t>0-2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5C6513AE" w:rsidR="00B83DEC" w:rsidRPr="00B83DEC" w:rsidRDefault="001D68D1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</w:t>
      </w:r>
      <w:r w:rsidR="00B83DEC"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А</w:t>
      </w:r>
      <w:r w:rsidR="005D3A4B">
        <w:rPr>
          <w:color w:val="000000"/>
          <w:sz w:val="28"/>
          <w:szCs w:val="28"/>
          <w:lang w:val="ru-RU"/>
        </w:rPr>
        <w:t xml:space="preserve">.С. </w:t>
      </w:r>
      <w:r>
        <w:rPr>
          <w:color w:val="000000"/>
          <w:sz w:val="28"/>
          <w:szCs w:val="28"/>
          <w:lang w:val="ru-RU"/>
        </w:rPr>
        <w:t>Рыбин</w:t>
      </w:r>
    </w:p>
    <w:p w14:paraId="592191CB" w14:textId="39EA0FF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389062A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1D68D1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66E20FDC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05CD21C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1759CD4A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EAD1C93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5438EBD8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2BCC05F6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1638A41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77C6D30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2B607580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45CA8EA2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2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ksExtrusionParam (таблица 1.1), ksCutExtrusionDefinition (таблица </w:t>
      </w:r>
      <w:r w:rsidRPr="00A967EB">
        <w:rPr>
          <w:rFonts w:cs="Times New Roman"/>
          <w:bCs/>
          <w:szCs w:val="28"/>
        </w:rPr>
        <w:lastRenderedPageBreak/>
        <w:t>1.2), ksBossExtrusionDefinition (таблица 1.2), ksEntity (таблица 1.3), KompasObject (таблица 1.4), ksDocument3D (таблица 1.5), ksDocument2D (таблица 1.6), ksSketchDefinition (таблица 1.7), ksPart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1.1 — Используемые </w:t>
      </w:r>
      <w:commentRangeStart w:id="7"/>
      <w:r w:rsidRPr="00A967EB">
        <w:rPr>
          <w:rFonts w:cs="Times New Roman"/>
          <w:bCs/>
          <w:szCs w:val="28"/>
        </w:rPr>
        <w:t xml:space="preserve">свойства </w:t>
      </w:r>
      <w:commentRangeEnd w:id="7"/>
      <w:r w:rsidR="005D44BC">
        <w:rPr>
          <w:rStyle w:val="af0"/>
          <w:rFonts w:asciiTheme="minorHAnsi" w:hAnsiTheme="minorHAnsi"/>
          <w:lang w:val="en-US"/>
        </w:rPr>
        <w:commentReference w:id="7"/>
      </w:r>
      <w:r w:rsidRPr="00A967EB">
        <w:rPr>
          <w:rFonts w:cs="Times New Roman"/>
          <w:bCs/>
          <w:szCs w:val="28"/>
        </w:rPr>
        <w:t>интерфейса ksExtrusionParam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297D0F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297D0F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1.2 — Используемые методы, и свойства интерфейса ksCutExtrusionDefinition и ksBossExtrusionDefinition</w:t>
      </w:r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297D0F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sketch ссылка на интерфейс эскиза ksEntity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297D0F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ksExtrusionParam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1.3 — Используемые методы интерфейса ksEntity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297D0F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IDispatch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lastRenderedPageBreak/>
        <w:t>Таблица 1.4 — Используемые методы интерфейса KompasObject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297D0F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297D0F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style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>Таблица 1.7 — Используемые методы интерфейса ksSketchDefinition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plane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ksEntity или IEntity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297D0F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297D0F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1.8 — Используемые методы интерфейса ksPart</w:t>
      </w:r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297D0F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297D0F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objType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ksEntity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8" w:name="_Toc116637017"/>
      <w:r>
        <w:lastRenderedPageBreak/>
        <w:t>Обзор аналогов</w:t>
      </w:r>
      <w:bookmarkEnd w:id="6"/>
      <w:bookmarkEnd w:id="8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nanoCAD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от российского разработчика – компании «Нанософт».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r>
        <w:rPr>
          <w:rFonts w:ascii="Times New Roman" w:hAnsi="Times New Roman" w:cs="Times New Roman"/>
          <w:sz w:val="28"/>
          <w:szCs w:val="28"/>
        </w:rPr>
        <w:t>nanoCAD</w:t>
      </w:r>
    </w:p>
    <w:p w14:paraId="2007AA66" w14:textId="4665993A" w:rsidR="00293AD2" w:rsidRDefault="00293AD2" w:rsidP="00293AD2">
      <w:pPr>
        <w:pStyle w:val="1"/>
      </w:pPr>
      <w:bookmarkStart w:id="9" w:name="_Toc116637018"/>
      <w:r w:rsidRPr="00EC111E">
        <w:t xml:space="preserve">2 </w:t>
      </w:r>
      <w:r>
        <w:t>Описание предмета проектирования</w:t>
      </w:r>
      <w:bookmarkEnd w:id="9"/>
    </w:p>
    <w:p w14:paraId="4FE837AB" w14:textId="4DBC7F63" w:rsidR="002736AC" w:rsidRDefault="00CB5C3D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элемент привода механизма рулевого управления колесных транспортных средств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C3D">
        <w:rPr>
          <w:rFonts w:ascii="Times New Roman" w:hAnsi="Times New Roman" w:cs="Times New Roman"/>
          <w:sz w:val="28"/>
          <w:szCs w:val="28"/>
          <w:lang w:val="ru-RU"/>
        </w:rPr>
        <w:t>деталь в виде стержня, обеспечивающая передачу усилия от рулевого механизма на рычаги поворотных кулаков колес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6EC3DC6B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7F6F0C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646A99C9" w:rsidR="00A44398" w:rsidRDefault="007D3870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920900" wp14:editId="55E59AA5">
            <wp:extent cx="5915025" cy="1704975"/>
            <wp:effectExtent l="0" t="0" r="9525" b="9525"/>
            <wp:docPr id="102000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D51C" w14:textId="6698C078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10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10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</w:p>
    <w:p w14:paraId="558EE033" w14:textId="2B7D339B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7D3870">
        <w:rPr>
          <w:rFonts w:ascii="Times New Roman" w:hAnsi="Times New Roman" w:cs="Times New Roman"/>
          <w:sz w:val="28"/>
          <w:szCs w:val="28"/>
          <w:lang w:val="ru-RU"/>
        </w:rPr>
        <w:t>рулевой тяги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C9FDE4" w14:textId="77777777" w:rsidR="007D3870" w:rsidRDefault="007D3870" w:rsidP="007D3870">
      <w:pPr>
        <w:pStyle w:val="af"/>
        <w:numPr>
          <w:ilvl w:val="0"/>
          <w:numId w:val="13"/>
        </w:numPr>
      </w:pPr>
      <w:bookmarkStart w:id="11" w:name="_Toc36076938"/>
      <w:bookmarkStart w:id="12" w:name="_Toc116637019"/>
      <w:commentRangeStart w:id="13"/>
      <w:r>
        <w:t>Длина большой части Lб (от 300 мм до 380мм)</w:t>
      </w:r>
      <w:commentRangeEnd w:id="13"/>
      <w:r w:rsidR="005D44BC">
        <w:rPr>
          <w:rStyle w:val="af0"/>
          <w:rFonts w:asciiTheme="minorHAnsi" w:hAnsiTheme="minorHAnsi"/>
          <w:lang w:val="en-US"/>
        </w:rPr>
        <w:commentReference w:id="13"/>
      </w:r>
    </w:p>
    <w:p w14:paraId="131E0100" w14:textId="77777777" w:rsidR="007D3870" w:rsidRDefault="007D3870" w:rsidP="007D3870">
      <w:pPr>
        <w:pStyle w:val="af"/>
        <w:numPr>
          <w:ilvl w:val="0"/>
          <w:numId w:val="13"/>
        </w:numPr>
      </w:pPr>
      <w:r>
        <w:lastRenderedPageBreak/>
        <w:t>Длина малой части Lм – не больше 1/2 Lб, не меньше 1/4 (от 75 мм до 190мм)</w:t>
      </w:r>
    </w:p>
    <w:p w14:paraId="0119296E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большой части Dб (от 20 мм до 30 мм)</w:t>
      </w:r>
    </w:p>
    <w:p w14:paraId="3D571EED" w14:textId="77777777" w:rsidR="007D3870" w:rsidRDefault="007D3870" w:rsidP="007D3870">
      <w:pPr>
        <w:pStyle w:val="af"/>
        <w:numPr>
          <w:ilvl w:val="0"/>
          <w:numId w:val="13"/>
        </w:numPr>
      </w:pPr>
      <w:r>
        <w:t>Диаметр малой части Dм – не больше 70% Dб, не меньше 50% Dб (от 10 мм до 21 мм)</w:t>
      </w:r>
    </w:p>
    <w:p w14:paraId="524A4C41" w14:textId="21C3A8F8" w:rsidR="007D3870" w:rsidRDefault="007D3870" w:rsidP="007D3870">
      <w:pPr>
        <w:pStyle w:val="af"/>
        <w:numPr>
          <w:ilvl w:val="0"/>
          <w:numId w:val="13"/>
        </w:numPr>
      </w:pPr>
      <w:r>
        <w:t xml:space="preserve">Длина </w:t>
      </w:r>
      <w:commentRangeStart w:id="14"/>
      <w:r>
        <w:t xml:space="preserve">фаски малой части </w:t>
      </w:r>
      <w:commentRangeEnd w:id="14"/>
      <w:r w:rsidR="005D44BC">
        <w:rPr>
          <w:rStyle w:val="af0"/>
          <w:rFonts w:asciiTheme="minorHAnsi" w:hAnsiTheme="minorHAnsi"/>
          <w:lang w:val="en-US"/>
        </w:rPr>
        <w:commentReference w:id="14"/>
      </w:r>
      <w:r>
        <w:rPr>
          <w:lang w:val="en-US"/>
        </w:rPr>
        <w:t>L</w:t>
      </w:r>
      <w:r>
        <w:t>ф – от 7 мм до 10 мм</w:t>
      </w:r>
      <w:r w:rsidR="00297D0F">
        <w:t>, угол остается неизменным.</w:t>
      </w:r>
    </w:p>
    <w:p w14:paraId="32B8FA16" w14:textId="71905FB6" w:rsidR="00E434C0" w:rsidRDefault="00E434C0" w:rsidP="00E434C0">
      <w:pPr>
        <w:pStyle w:val="1"/>
      </w:pPr>
      <w:r w:rsidRPr="004C3DB0">
        <w:t xml:space="preserve">3 </w:t>
      </w:r>
      <w:r>
        <w:t>Проект программы</w:t>
      </w:r>
      <w:bookmarkEnd w:id="11"/>
      <w:bookmarkEnd w:id="12"/>
    </w:p>
    <w:p w14:paraId="1556F80F" w14:textId="77777777" w:rsidR="008F345D" w:rsidRDefault="008F345D" w:rsidP="003659C2">
      <w:pPr>
        <w:pStyle w:val="1"/>
        <w:ind w:firstLine="709"/>
      </w:pPr>
      <w:bookmarkStart w:id="15" w:name="_Toc36076939"/>
      <w:bookmarkStart w:id="16" w:name="_Toc116637020"/>
      <w:r>
        <w:t>3.1 Описание технических и функциональных аспектов проекта</w:t>
      </w:r>
      <w:bookmarkEnd w:id="15"/>
      <w:bookmarkEnd w:id="16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7" w:name="_Toc34125503"/>
      <w:bookmarkStart w:id="18" w:name="_Toc36076941"/>
      <w:bookmarkStart w:id="19" w:name="_Toc116637021"/>
      <w:r>
        <w:t>3.</w:t>
      </w:r>
      <w:r w:rsidR="00A61361">
        <w:t>2</w:t>
      </w:r>
      <w:r>
        <w:t xml:space="preserve"> Диаграмма классов</w:t>
      </w:r>
      <w:bookmarkEnd w:id="17"/>
      <w:bookmarkEnd w:id="18"/>
      <w:bookmarkEnd w:id="19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36CAA2D4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t xml:space="preserve"> </w:t>
      </w:r>
      <w:commentRangeStart w:id="20"/>
      <w:r w:rsidR="00B54144">
        <w:rPr>
          <w:noProof/>
        </w:rPr>
        <w:drawing>
          <wp:inline distT="0" distB="0" distL="0" distR="0" wp14:anchorId="7DAE7790" wp14:editId="2F1E6934">
            <wp:extent cx="5943600" cy="7153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 w:rsidR="005D44BC">
        <w:rPr>
          <w:rStyle w:val="af0"/>
        </w:rPr>
        <w:commentReference w:id="20"/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21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CF02D0" w14:textId="2A5BD85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Описание класса </w:t>
      </w:r>
      <w:r>
        <w:rPr>
          <w:rFonts w:ascii="Times New Roman" w:hAnsi="Times New Roman" w:cs="Times New Roman"/>
          <w:sz w:val="28"/>
          <w:szCs w:val="28"/>
        </w:rPr>
        <w:t>StockForm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A36053" w:rsidRPr="00A36053" w14:paraId="2BD458A2" w14:textId="77777777" w:rsidTr="00C2047E">
        <w:tc>
          <w:tcPr>
            <w:tcW w:w="4395" w:type="dxa"/>
          </w:tcPr>
          <w:p w14:paraId="7069EA23" w14:textId="717D9F42" w:rsidR="00A36053" w:rsidRPr="00A36053" w:rsidRDefault="00C2047E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_stockBuilder</w:t>
            </w:r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StockBuilder</w:t>
            </w:r>
          </w:p>
        </w:tc>
        <w:tc>
          <w:tcPr>
            <w:tcW w:w="2401" w:type="dxa"/>
          </w:tcPr>
          <w:p w14:paraId="2A483DEC" w14:textId="77777777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275F907F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Хранит </w:t>
            </w:r>
            <w:r w:rsidR="00C2047E"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экземпляр класса-построителя</w:t>
            </w:r>
          </w:p>
        </w:tc>
      </w:tr>
      <w:tr w:rsidR="00A36053" w:rsidRPr="00297D0F" w14:paraId="5157500A" w14:textId="77777777" w:rsidTr="00C2047E">
        <w:tc>
          <w:tcPr>
            <w:tcW w:w="4395" w:type="dxa"/>
          </w:tcPr>
          <w:p w14:paraId="118DA7E8" w14:textId="47A7EC0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r w:rsidRPr="00C2047E">
              <w:rPr>
                <w:bCs/>
                <w:sz w:val="24"/>
                <w:szCs w:val="24"/>
                <w:lang w:val="en-US"/>
              </w:rPr>
              <w:t>stockParameters</w:t>
            </w:r>
            <w:r w:rsidR="00024D81">
              <w:rPr>
                <w:bCs/>
                <w:sz w:val="24"/>
                <w:szCs w:val="24"/>
                <w:lang w:val="en-US"/>
              </w:rPr>
              <w:t>: StockParameters</w:t>
            </w:r>
          </w:p>
        </w:tc>
        <w:tc>
          <w:tcPr>
            <w:tcW w:w="2401" w:type="dxa"/>
          </w:tcPr>
          <w:p w14:paraId="026F20D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4" w:type="dxa"/>
          </w:tcPr>
          <w:p w14:paraId="7C4A8182" w14:textId="7A1ECD8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Хранит экземпляр списка параметров детали</w:t>
            </w:r>
          </w:p>
        </w:tc>
      </w:tr>
      <w:tr w:rsidR="00A36053" w14:paraId="501DB76C" w14:textId="77777777" w:rsidTr="00C2047E">
        <w:tc>
          <w:tcPr>
            <w:tcW w:w="4395" w:type="dxa"/>
          </w:tcPr>
          <w:p w14:paraId="1DA66B1F" w14:textId="34410574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</w:t>
            </w:r>
            <w:r w:rsidRPr="00C2047E">
              <w:rPr>
                <w:bCs/>
                <w:sz w:val="24"/>
                <w:szCs w:val="24"/>
                <w:lang w:val="en-US"/>
              </w:rPr>
              <w:t>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Parameter(</w:t>
            </w:r>
            <w:r w:rsidRPr="00C2047E">
              <w:rPr>
                <w:bCs/>
                <w:sz w:val="24"/>
                <w:szCs w:val="24"/>
                <w:lang w:val="en-US"/>
              </w:rPr>
              <w:t>ParameterType, parameterValue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36053" w:rsidRPr="00297D0F" w14:paraId="726D0412" w14:textId="77777777" w:rsidTr="00C2047E">
        <w:tc>
          <w:tcPr>
            <w:tcW w:w="4395" w:type="dxa"/>
          </w:tcPr>
          <w:p w14:paraId="1F129B9B" w14:textId="59A14FC5" w:rsidR="00A36053" w:rsidRPr="00C2047E" w:rsidRDefault="00C2047E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SetMin</w:t>
            </w:r>
            <w:r w:rsidRPr="00C2047E">
              <w:rPr>
                <w:bCs/>
                <w:sz w:val="24"/>
                <w:szCs w:val="24"/>
                <w:lang w:val="en-US"/>
              </w:rPr>
              <w:t>imum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Parameters</w:t>
            </w:r>
            <w:r w:rsidRPr="00C2047E">
              <w:rPr>
                <w:bCs/>
                <w:sz w:val="24"/>
                <w:szCs w:val="24"/>
                <w:lang w:val="en-US"/>
              </w:rPr>
              <w:t>_Click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401" w:type="dxa"/>
          </w:tcPr>
          <w:p w14:paraId="27E84CF8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A36053" w:rsidRPr="00297D0F" w14:paraId="5CD3693C" w14:textId="77777777" w:rsidTr="00C2047E">
        <w:tc>
          <w:tcPr>
            <w:tcW w:w="4395" w:type="dxa"/>
          </w:tcPr>
          <w:p w14:paraId="5B421F52" w14:textId="61C70B9A" w:rsidR="00A36053" w:rsidRPr="00C2047E" w:rsidRDefault="00A36053" w:rsidP="00C2047E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ind w:left="34" w:hanging="142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SetMax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imum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12B8858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A36053" w:rsidRPr="00297D0F" w14:paraId="06421D9C" w14:textId="77777777" w:rsidTr="00C2047E">
        <w:tc>
          <w:tcPr>
            <w:tcW w:w="4395" w:type="dxa"/>
          </w:tcPr>
          <w:p w14:paraId="35791849" w14:textId="0EB47221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 xml:space="preserve">- </w:t>
            </w:r>
            <w:r w:rsidRPr="00C2047E">
              <w:rPr>
                <w:bCs/>
                <w:sz w:val="24"/>
                <w:szCs w:val="24"/>
                <w:lang w:val="en-US"/>
              </w:rPr>
              <w:t>SetAv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era</w:t>
            </w:r>
            <w:r w:rsidRPr="00C2047E">
              <w:rPr>
                <w:bCs/>
                <w:sz w:val="24"/>
                <w:szCs w:val="24"/>
                <w:lang w:val="en-US"/>
              </w:rPr>
              <w:t>g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bCs/>
                <w:sz w:val="24"/>
                <w:szCs w:val="24"/>
                <w:lang w:val="en-US"/>
              </w:rPr>
              <w:t>Parameters()</w:t>
            </w:r>
          </w:p>
        </w:tc>
        <w:tc>
          <w:tcPr>
            <w:tcW w:w="2401" w:type="dxa"/>
          </w:tcPr>
          <w:p w14:paraId="01A57B2B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472E182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3E7CCB91" w14:textId="50E57C1D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51AA0B91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StockParameters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297D0F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&lt;ParametersType,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r>
              <w:rPr>
                <w:bCs/>
                <w:sz w:val="24"/>
                <w:szCs w:val="24"/>
                <w:lang w:val="en-US"/>
              </w:rPr>
              <w:t>ParametersType</w:t>
            </w:r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297D0F" w14:paraId="00457F77" w14:textId="77777777" w:rsidTr="00B35DE6">
        <w:tc>
          <w:tcPr>
            <w:tcW w:w="3735" w:type="dxa"/>
          </w:tcPr>
          <w:p w14:paraId="1B361EF6" w14:textId="1E078ED3" w:rsidR="009F2367" w:rsidRPr="00265DDF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StockParameters()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SetValue(ParameterType,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GetValue(ParameterType)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297D0F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Parameter(double,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297D0F" w14:paraId="38138C77" w14:textId="77777777" w:rsidTr="00B35DE6">
        <w:tc>
          <w:tcPr>
            <w:tcW w:w="3542" w:type="dxa"/>
          </w:tcPr>
          <w:p w14:paraId="28433C1F" w14:textId="77777777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Maximum()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297D0F" w14:paraId="22F8534E" w14:textId="77777777" w:rsidTr="00B35DE6">
        <w:tc>
          <w:tcPr>
            <w:tcW w:w="3542" w:type="dxa"/>
          </w:tcPr>
          <w:p w14:paraId="61008B2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Minimum()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297D0F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65BDC88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StockBuilder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297D0F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kompasWrapper: KompasWrapper</w:t>
            </w:r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297D0F" w14:paraId="6FB296BB" w14:textId="77777777" w:rsidTr="00B35DE6">
        <w:tc>
          <w:tcPr>
            <w:tcW w:w="3823" w:type="dxa"/>
          </w:tcPr>
          <w:p w14:paraId="6E2D5116" w14:textId="64D18F3F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_parameters: StockParameters</w:t>
            </w:r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2D3C1981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r>
              <w:rPr>
                <w:bCs/>
                <w:sz w:val="24"/>
                <w:szCs w:val="24"/>
                <w:lang w:val="en-US"/>
              </w:rPr>
              <w:t>StockParameter</w:t>
            </w:r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297D0F" w14:paraId="54B5EB35" w14:textId="77777777" w:rsidTr="00B35DE6">
        <w:tc>
          <w:tcPr>
            <w:tcW w:w="3823" w:type="dxa"/>
          </w:tcPr>
          <w:p w14:paraId="314D69EA" w14:textId="4330C233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 xml:space="preserve">+ BuildStock(StockParameters)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штока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CreateCylinder()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D9ABE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цилиндрической основы штока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CreateChamfer()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фаски</w:t>
            </w:r>
          </w:p>
        </w:tc>
      </w:tr>
    </w:tbl>
    <w:p w14:paraId="2E7E843A" w14:textId="7F38CA0B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PressOutSketch(ksSketchDefinition,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22" w:name="_Toc34125504"/>
      <w:bookmarkStart w:id="23" w:name="_Toc36076942"/>
      <w:bookmarkStart w:id="24" w:name="_Toc116637022"/>
      <w:r>
        <w:t>3.3 Макет пользовательского интерфейса</w:t>
      </w:r>
      <w:bookmarkEnd w:id="22"/>
      <w:bookmarkEnd w:id="23"/>
      <w:bookmarkEnd w:id="24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commentRangeStart w:id="25"/>
      <w:r w:rsidR="00103F0A">
        <w:rPr>
          <w:rFonts w:ascii="Times New Roman" w:hAnsi="Times New Roman" w:cs="Times New Roman"/>
          <w:sz w:val="28"/>
          <w:szCs w:val="28"/>
          <w:lang w:val="ru-RU"/>
        </w:rPr>
        <w:t>неактивна</w:t>
      </w:r>
      <w:commentRangeEnd w:id="25"/>
      <w:r w:rsidR="005D44BC">
        <w:rPr>
          <w:rStyle w:val="af0"/>
        </w:rPr>
        <w:commentReference w:id="25"/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31742502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5D4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B15A2F">
        <w:rPr>
          <w:rFonts w:ascii="Times New Roman" w:hAnsi="Times New Roman" w:cs="Times New Roman"/>
          <w:sz w:val="28"/>
          <w:szCs w:val="28"/>
        </w:rPr>
        <w:t>TextBox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</w:t>
      </w:r>
      <w:commentRangeStart w:id="26"/>
      <w:r w:rsidR="00BD1914">
        <w:rPr>
          <w:rFonts w:ascii="Times New Roman" w:hAnsi="Times New Roman" w:cs="Times New Roman"/>
          <w:sz w:val="28"/>
          <w:szCs w:val="28"/>
          <w:lang w:val="ru-RU"/>
        </w:rPr>
        <w:t>3</w:t>
      </w:r>
      <w:commentRangeEnd w:id="26"/>
      <w:r w:rsidR="005D44BC">
        <w:rPr>
          <w:rStyle w:val="af0"/>
        </w:rPr>
        <w:commentReference w:id="26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21E9196" wp14:editId="1E6F067D">
            <wp:extent cx="4633016" cy="325499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925" cy="32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7" w:name="_Toc36076943"/>
      <w:bookmarkStart w:id="28" w:name="_Toc116637023"/>
      <w:r w:rsidRPr="000936B0">
        <w:rPr>
          <w:szCs w:val="28"/>
        </w:rPr>
        <w:lastRenderedPageBreak/>
        <w:t>Список литературы</w:t>
      </w:r>
      <w:bookmarkEnd w:id="27"/>
      <w:bookmarkEnd w:id="28"/>
    </w:p>
    <w:p w14:paraId="4C37E624" w14:textId="5EA7B470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commentRangeStart w:id="29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https://ru.wikipedia.org/wiki/Система_автоматизированного_проектирования </w:t>
      </w:r>
      <w:commentRangeEnd w:id="29"/>
      <w:r w:rsidR="005D44BC">
        <w:rPr>
          <w:rStyle w:val="af0"/>
        </w:rPr>
        <w:commentReference w:id="29"/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4986CEF2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0"/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commentRangeEnd w:id="30"/>
      <w:r w:rsidR="005D44BC">
        <w:rPr>
          <w:rStyle w:val="af0"/>
        </w:rPr>
        <w:commentReference w:id="30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3A7656B0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1"/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End w:id="31"/>
      <w:r w:rsidR="005D44BC">
        <w:rPr>
          <w:rStyle w:val="af0"/>
        </w:rPr>
        <w:commentReference w:id="31"/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3AE2EC79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NanoCAD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156F3BC4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85B2A">
        <w:rPr>
          <w:rFonts w:ascii="Times New Roman" w:hAnsi="Times New Roman" w:cs="Times New Roman"/>
          <w:sz w:val="28"/>
          <w:szCs w:val="28"/>
          <w:lang w:val="ru-RU"/>
        </w:rPr>
        <w:t>Рулевая тяга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commentRangeStart w:id="32"/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commentRangeEnd w:id="32"/>
      <w:r w:rsidR="005D44BC">
        <w:rPr>
          <w:rStyle w:val="af0"/>
        </w:rPr>
        <w:commentReference w:id="32"/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15EA5BDC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1D68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1-20T12:14:00Z" w:initials="KA">
    <w:p w14:paraId="48F4755E" w14:textId="65476DC3" w:rsidR="005D44BC" w:rsidRDefault="005D44BC">
      <w:pPr>
        <w:pStyle w:val="af1"/>
      </w:pPr>
      <w:r>
        <w:rPr>
          <w:rStyle w:val="af0"/>
        </w:rPr>
        <w:annotationRef/>
      </w:r>
    </w:p>
  </w:comment>
  <w:comment w:id="13" w:author="Kalentyev Alexey" w:date="2023-11-20T12:15:00Z" w:initials="KA">
    <w:p w14:paraId="004AD126" w14:textId="334FF8E5" w:rsidR="005D44BC" w:rsidRPr="00297D0F" w:rsidRDefault="005D44BC">
      <w:pPr>
        <w:pStyle w:val="af1"/>
      </w:pPr>
      <w:r>
        <w:rPr>
          <w:rStyle w:val="af0"/>
        </w:rPr>
        <w:annotationRef/>
      </w:r>
      <w:r>
        <w:rPr>
          <w:lang w:val="ru-RU"/>
        </w:rPr>
        <w:t>ОСТУСУ</w:t>
      </w:r>
    </w:p>
  </w:comment>
  <w:comment w:id="14" w:author="Kalentyev Alexey" w:date="2023-11-20T12:15:00Z" w:initials="KA">
    <w:p w14:paraId="1E0C4176" w14:textId="56FC6660" w:rsidR="005D44BC" w:rsidRPr="00297D0F" w:rsidRDefault="005D44BC">
      <w:pPr>
        <w:pStyle w:val="af1"/>
      </w:pPr>
      <w:r>
        <w:rPr>
          <w:rStyle w:val="af0"/>
        </w:rPr>
        <w:annotationRef/>
      </w:r>
      <w:r>
        <w:rPr>
          <w:lang w:val="ru-RU"/>
        </w:rPr>
        <w:t>угол</w:t>
      </w:r>
    </w:p>
  </w:comment>
  <w:comment w:id="20" w:author="Kalentyev Alexey" w:date="2023-11-20T12:17:00Z" w:initials="KA">
    <w:p w14:paraId="6ED19F19" w14:textId="77777777" w:rsidR="005D44BC" w:rsidRPr="00297D0F" w:rsidRDefault="005D44BC">
      <w:pPr>
        <w:pStyle w:val="af1"/>
      </w:pPr>
      <w:r>
        <w:rPr>
          <w:rStyle w:val="af0"/>
        </w:rPr>
        <w:annotationRef/>
      </w:r>
      <w:r>
        <w:t xml:space="preserve">StockForm – SetValueParameter – </w:t>
      </w:r>
      <w:r>
        <w:rPr>
          <w:lang w:val="ru-RU"/>
        </w:rPr>
        <w:t>зачем</w:t>
      </w:r>
      <w:r w:rsidRPr="00297D0F">
        <w:t>?</w:t>
      </w:r>
    </w:p>
    <w:p w14:paraId="6ED2A234" w14:textId="77777777" w:rsidR="005D44BC" w:rsidRDefault="005D44BC">
      <w:pPr>
        <w:pStyle w:val="af1"/>
        <w:rPr>
          <w:lang w:val="ru-RU"/>
        </w:rPr>
      </w:pPr>
      <w:r>
        <w:t>StockPsrameters</w:t>
      </w:r>
      <w:r w:rsidRPr="005D44BC">
        <w:rPr>
          <w:lang w:val="ru-RU"/>
        </w:rPr>
        <w:t xml:space="preserve"> – </w:t>
      </w:r>
      <w:r>
        <w:t>SetValue</w:t>
      </w:r>
      <w:r w:rsidRPr="005D44BC">
        <w:rPr>
          <w:lang w:val="ru-RU"/>
        </w:rPr>
        <w:t xml:space="preserve"> – </w:t>
      </w:r>
      <w:r>
        <w:rPr>
          <w:lang w:val="ru-RU"/>
        </w:rPr>
        <w:t>нет значения для установки</w:t>
      </w:r>
    </w:p>
    <w:p w14:paraId="2BF050C9" w14:textId="7069F03A" w:rsidR="005D44BC" w:rsidRPr="005D44BC" w:rsidRDefault="005D44BC">
      <w:pPr>
        <w:pStyle w:val="af1"/>
        <w:rPr>
          <w:lang w:val="ru-RU"/>
        </w:rPr>
      </w:pPr>
      <w:r>
        <w:rPr>
          <w:lang w:val="ru-RU"/>
        </w:rPr>
        <w:t>Как работает система валидации параметров?</w:t>
      </w:r>
    </w:p>
  </w:comment>
  <w:comment w:id="25" w:author="Kalentyev Alexey" w:date="2023-11-20T12:22:00Z" w:initials="KA">
    <w:p w14:paraId="4FBC8FB3" w14:textId="07FB2A3B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Описать область с чертежём.</w:t>
      </w:r>
    </w:p>
  </w:comment>
  <w:comment w:id="26" w:author="Kalentyev Alexey" w:date="2023-11-20T12:23:00Z" w:initials="KA">
    <w:p w14:paraId="35FAFA14" w14:textId="14AADAAC" w:rsidR="005D44BC" w:rsidRPr="005D44BC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Добавить макет и описание взаимодействия двух зависимых параметров.</w:t>
      </w:r>
    </w:p>
  </w:comment>
  <w:comment w:id="29" w:author="Kalentyev Alexey" w:date="2023-11-20T12:23:00Z" w:initials="KA">
    <w:p w14:paraId="7993AA75" w14:textId="30FF50A0" w:rsidR="005D44BC" w:rsidRPr="00297D0F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0" w:author="Kalentyev Alexey" w:date="2023-11-20T12:23:00Z" w:initials="KA">
    <w:p w14:paraId="4DC4E95C" w14:textId="16394318" w:rsidR="005D44BC" w:rsidRPr="00297D0F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1" w:author="Kalentyev Alexey" w:date="2023-11-20T12:23:00Z" w:initials="KA">
    <w:p w14:paraId="2DCFACF0" w14:textId="132A3607" w:rsidR="005D44BC" w:rsidRPr="00297D0F" w:rsidRDefault="005D44BC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2" w:author="Kalentyev Alexey" w:date="2023-11-20T12:24:00Z" w:initials="KA">
    <w:p w14:paraId="55675EEB" w14:textId="79B135EF" w:rsidR="005D44BC" w:rsidRDefault="005D44BC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F4755E" w15:done="0"/>
  <w15:commentEx w15:paraId="004AD126" w15:done="0"/>
  <w15:commentEx w15:paraId="1E0C4176" w15:done="0"/>
  <w15:commentEx w15:paraId="2BF050C9" w15:done="0"/>
  <w15:commentEx w15:paraId="4FBC8FB3" w15:done="0"/>
  <w15:commentEx w15:paraId="35FAFA14" w15:done="0"/>
  <w15:commentEx w15:paraId="7993AA75" w15:done="0"/>
  <w15:commentEx w15:paraId="4DC4E95C" w15:done="0"/>
  <w15:commentEx w15:paraId="2DCFACF0" w15:done="0"/>
  <w15:commentEx w15:paraId="55675E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1664A49" w16cex:dateUtc="2023-11-20T05:14:00Z"/>
  <w16cex:commentExtensible w16cex:durableId="09074ED6" w16cex:dateUtc="2023-11-20T05:15:00Z"/>
  <w16cex:commentExtensible w16cex:durableId="1DF8F8E4" w16cex:dateUtc="2023-11-20T05:15:00Z"/>
  <w16cex:commentExtensible w16cex:durableId="77A3C727" w16cex:dateUtc="2023-11-20T05:17:00Z"/>
  <w16cex:commentExtensible w16cex:durableId="603A1D93" w16cex:dateUtc="2023-11-20T05:22:00Z"/>
  <w16cex:commentExtensible w16cex:durableId="7009E073" w16cex:dateUtc="2023-11-20T05:23:00Z"/>
  <w16cex:commentExtensible w16cex:durableId="50388341" w16cex:dateUtc="2023-11-20T05:23:00Z"/>
  <w16cex:commentExtensible w16cex:durableId="0778BC64" w16cex:dateUtc="2023-11-20T05:23:00Z"/>
  <w16cex:commentExtensible w16cex:durableId="14C8BCF7" w16cex:dateUtc="2023-11-20T05:23:00Z"/>
  <w16cex:commentExtensible w16cex:durableId="13BCCA98" w16cex:dateUtc="2023-11-20T0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F4755E" w16cid:durableId="51664A49"/>
  <w16cid:commentId w16cid:paraId="004AD126" w16cid:durableId="09074ED6"/>
  <w16cid:commentId w16cid:paraId="1E0C4176" w16cid:durableId="1DF8F8E4"/>
  <w16cid:commentId w16cid:paraId="2BF050C9" w16cid:durableId="77A3C727"/>
  <w16cid:commentId w16cid:paraId="4FBC8FB3" w16cid:durableId="603A1D93"/>
  <w16cid:commentId w16cid:paraId="35FAFA14" w16cid:durableId="7009E073"/>
  <w16cid:commentId w16cid:paraId="7993AA75" w16cid:durableId="50388341"/>
  <w16cid:commentId w16cid:paraId="4DC4E95C" w16cid:durableId="0778BC64"/>
  <w16cid:commentId w16cid:paraId="2DCFACF0" w16cid:durableId="14C8BCF7"/>
  <w16cid:commentId w16cid:paraId="55675EEB" w16cid:durableId="13BCCA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AB45" w14:textId="77777777" w:rsidR="005648D5" w:rsidRDefault="005648D5" w:rsidP="006419B1">
      <w:pPr>
        <w:spacing w:after="0" w:line="240" w:lineRule="auto"/>
      </w:pPr>
      <w:r>
        <w:separator/>
      </w:r>
    </w:p>
  </w:endnote>
  <w:endnote w:type="continuationSeparator" w:id="0">
    <w:p w14:paraId="3B53789A" w14:textId="77777777" w:rsidR="005648D5" w:rsidRDefault="005648D5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C398" w14:textId="77777777" w:rsidR="00E4058A" w:rsidRDefault="00E4058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0C2976C1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E4058A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1253" w14:textId="77777777" w:rsidR="005648D5" w:rsidRDefault="005648D5" w:rsidP="006419B1">
      <w:pPr>
        <w:spacing w:after="0" w:line="240" w:lineRule="auto"/>
      </w:pPr>
      <w:r>
        <w:separator/>
      </w:r>
    </w:p>
  </w:footnote>
  <w:footnote w:type="continuationSeparator" w:id="0">
    <w:p w14:paraId="76D46192" w14:textId="77777777" w:rsidR="005648D5" w:rsidRDefault="005648D5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B50F" w14:textId="77777777" w:rsidR="00E4058A" w:rsidRDefault="00E4058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E7538" w14:textId="77777777" w:rsidR="00E4058A" w:rsidRDefault="00E4058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347C6"/>
    <w:rsid w:val="00150A55"/>
    <w:rsid w:val="00155F6F"/>
    <w:rsid w:val="001564DE"/>
    <w:rsid w:val="00157CAD"/>
    <w:rsid w:val="001719B4"/>
    <w:rsid w:val="00183CF9"/>
    <w:rsid w:val="0019168A"/>
    <w:rsid w:val="00193F03"/>
    <w:rsid w:val="0019685A"/>
    <w:rsid w:val="001A6811"/>
    <w:rsid w:val="001C4356"/>
    <w:rsid w:val="001D68D1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97D0F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20D4"/>
    <w:rsid w:val="004845FF"/>
    <w:rsid w:val="00485979"/>
    <w:rsid w:val="00496EF7"/>
    <w:rsid w:val="004A2C4B"/>
    <w:rsid w:val="004E0938"/>
    <w:rsid w:val="00512AFB"/>
    <w:rsid w:val="00521767"/>
    <w:rsid w:val="00532409"/>
    <w:rsid w:val="00532B0D"/>
    <w:rsid w:val="00533AD8"/>
    <w:rsid w:val="00535BD1"/>
    <w:rsid w:val="0053727E"/>
    <w:rsid w:val="00552FF2"/>
    <w:rsid w:val="005648D5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4BC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1641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66790"/>
    <w:rsid w:val="00774635"/>
    <w:rsid w:val="007B160A"/>
    <w:rsid w:val="007B77E0"/>
    <w:rsid w:val="007C1B59"/>
    <w:rsid w:val="007D22BD"/>
    <w:rsid w:val="007D3870"/>
    <w:rsid w:val="007D482E"/>
    <w:rsid w:val="007D5108"/>
    <w:rsid w:val="007F6F0C"/>
    <w:rsid w:val="00803CB5"/>
    <w:rsid w:val="00826725"/>
    <w:rsid w:val="00835840"/>
    <w:rsid w:val="00835FB1"/>
    <w:rsid w:val="00840496"/>
    <w:rsid w:val="00847193"/>
    <w:rsid w:val="008566BE"/>
    <w:rsid w:val="00862274"/>
    <w:rsid w:val="00874C23"/>
    <w:rsid w:val="00885B2A"/>
    <w:rsid w:val="00893061"/>
    <w:rsid w:val="008A10EA"/>
    <w:rsid w:val="008B26CB"/>
    <w:rsid w:val="008B48D1"/>
    <w:rsid w:val="008C354D"/>
    <w:rsid w:val="008D0C28"/>
    <w:rsid w:val="008E1B09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1FF8"/>
    <w:rsid w:val="00CA6A14"/>
    <w:rsid w:val="00CB5C3D"/>
    <w:rsid w:val="00CD2298"/>
    <w:rsid w:val="00CD24A6"/>
    <w:rsid w:val="00CE5647"/>
    <w:rsid w:val="00D13BA0"/>
    <w:rsid w:val="00D156CD"/>
    <w:rsid w:val="00D40DF6"/>
    <w:rsid w:val="00D503E5"/>
    <w:rsid w:val="00D611F3"/>
    <w:rsid w:val="00D64C15"/>
    <w:rsid w:val="00D77496"/>
    <w:rsid w:val="00D8112E"/>
    <w:rsid w:val="00D93B14"/>
    <w:rsid w:val="00DA1CA2"/>
    <w:rsid w:val="00DA5BF2"/>
    <w:rsid w:val="00DB30EA"/>
    <w:rsid w:val="00DC26DE"/>
    <w:rsid w:val="00DC483E"/>
    <w:rsid w:val="00DC568B"/>
    <w:rsid w:val="00DD0111"/>
    <w:rsid w:val="00DE2119"/>
    <w:rsid w:val="00DE642A"/>
    <w:rsid w:val="00E4058A"/>
    <w:rsid w:val="00E40BAF"/>
    <w:rsid w:val="00E414D8"/>
    <w:rsid w:val="00E434C0"/>
    <w:rsid w:val="00E63FDF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Антон Рыбин</cp:lastModifiedBy>
  <cp:revision>17</cp:revision>
  <cp:lastPrinted>2023-05-04T06:34:00Z</cp:lastPrinted>
  <dcterms:created xsi:type="dcterms:W3CDTF">2022-10-21T09:10:00Z</dcterms:created>
  <dcterms:modified xsi:type="dcterms:W3CDTF">2023-12-17T19:09:00Z</dcterms:modified>
</cp:coreProperties>
</file>