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Дана Політика інформаційної безпеки розроблена з метою встановлення стратегічних засад захисту інформаційних активів та створення єдиного регуляторного поля для забезпечення стійкості інформаційного середовища. Документ базується на положеннях Конституції України, Законів України про захист інформації в інформаційно-комунікаційних системах, про основні засади забезпечення кібербезпеки та про захист персональних даних. Методологічну основу політики складають міжнародні стандарти серії ISO/IEC 27000, зокрема вимоги до систем управління за стандартом 27001 та практичні настанови 27002. Також при розробці враховано архітектурні підходи фреймворку NIST Cybersecurity Framework та цільові контролі COBIT, що дозволяє інтегрувати безпеку в загальну систему корпоративного управління.</w:t>
      </w:r>
    </w:p>
    <w:p w:rsidR="00000000" w:rsidDel="00000000" w:rsidP="00000000" w:rsidRDefault="00000000" w:rsidRPr="00000000" w14:paraId="00000002">
      <w:pPr>
        <w:spacing w:after="240" w:before="240" w:lineRule="auto"/>
        <w:rPr/>
      </w:pPr>
      <w:r w:rsidDel="00000000" w:rsidR="00000000" w:rsidRPr="00000000">
        <w:rPr>
          <w:rtl w:val="0"/>
        </w:rPr>
        <w:t xml:space="preserve">Сфера дії політики розповсюджується на всі структурні підрозділи, технічні платформи, бази даних та мережеву інфраструктуру. Обов'язковість виконання вимог документа поширюється на штатних працівників, позаштатних фахівців, підрядників та будь-які треті сторони, які взаємодіють з інформаційними ресурсами організації. У межах реалізації політики запроваджується чіткий розподіл ролей за матрицею відповідальності. Власник політики забезпечує стратегічне планування та ресурсну підтримку, відповідальна особа за інформаційну безпеку (CISO) координує впровадження заходів захисту, а адміністратори систем забезпечують технічну реалізацію та моніторинг. Користувачі несуть персональну відповідальність за дотримання встановлених правил та збереження цілісності наданих їм ідентифікаторів.</w:t>
      </w:r>
    </w:p>
    <w:p w:rsidR="00000000" w:rsidDel="00000000" w:rsidP="00000000" w:rsidRDefault="00000000" w:rsidRPr="00000000" w14:paraId="00000003">
      <w:pPr>
        <w:spacing w:after="240" w:before="240" w:lineRule="auto"/>
        <w:rPr/>
      </w:pPr>
      <w:r w:rsidDel="00000000" w:rsidR="00000000" w:rsidRPr="00000000">
        <w:rPr>
          <w:rtl w:val="0"/>
        </w:rPr>
        <w:t xml:space="preserve">Процес управління ризиками інтегрований у життєвий цикл усіх бізнес-процесів і базується на методології ISO/IEC 27005. Він передбачає регулярну ідентифікацію загроз, аналіз вразливостей та оцінку потенційних наслідків для діяльності. Критерії прийнятності ризиків визначаються керівництвом, а для кожного критичного ризику впроваджуються відповідні заходи контролю, що фіксуються у реєстрі ризиків. Такий підхід забезпечує обґрунтованість витрат на безпеку та пріоритезацію захисних заходів.</w:t>
      </w:r>
    </w:p>
    <w:p w:rsidR="00000000" w:rsidDel="00000000" w:rsidP="00000000" w:rsidRDefault="00000000" w:rsidRPr="00000000" w14:paraId="00000004">
      <w:pPr>
        <w:spacing w:after="240" w:before="240" w:lineRule="auto"/>
        <w:rPr/>
      </w:pPr>
      <w:r w:rsidDel="00000000" w:rsidR="00000000" w:rsidRPr="00000000">
        <w:rPr>
          <w:rtl w:val="0"/>
        </w:rPr>
        <w:t xml:space="preserve">Одним із фундаментальних розділів політики є розмежування прав доступу. Система будується на принципах ідентифікації, автентифікації та авторизації. Кожен користувач отримує унікальний обліковий запис, а доступ до інформації надається за принципом мінімальних привілеїв, що передбачає надання лише тих прав, які є критично необхідними для виконання професійних обов'язків. Управління життєвим циклом облікових записів включає процедури їх створення, регулярного перегляду актуальності прав та негайного блокування у разі зміни посади чи припинення трудових відносин. Особлива увага приділяється привілейованим обліковим записам, для яких обов'язковим є використання багатофакторної автентифікації та розширеного аудиту дій. Ці заходи повністю відповідають функціям Protect та Identify за методологією NIST CSF.</w:t>
      </w:r>
    </w:p>
    <w:p w:rsidR="00000000" w:rsidDel="00000000" w:rsidP="00000000" w:rsidRDefault="00000000" w:rsidRPr="00000000" w14:paraId="00000005">
      <w:pPr>
        <w:spacing w:after="240" w:before="240" w:lineRule="auto"/>
        <w:rPr/>
      </w:pPr>
      <w:r w:rsidDel="00000000" w:rsidR="00000000" w:rsidRPr="00000000">
        <w:rPr>
          <w:rtl w:val="0"/>
        </w:rPr>
        <w:t xml:space="preserve">Розділ щодо журналювання та моніторингу подій безпеки визначає обов'язковість реєстрації всіх критичних дій у системі. До переліку подій, що підлягають фіксації, належать спроби автентифікації, зміна прав доступу, операції з конфіденційними даними та системні помилки. Журнали подій мають бути захищені від несанкціонованого доступу та модифікації, а їх зберігання здійснюється протягом терміну, визначеного законодавством або внутрішніми вимогами. Синхронізація часу між усіма вузлами системи є обов’язковою для забезпечення точності часових міток при розслідуванні інцидентів. Моніторинг здійснюється у режимі реального часу, що дозволяє реалізувати функцію Detect та забезпечити швидке реагування на загрози.</w:t>
      </w:r>
    </w:p>
    <w:p w:rsidR="00000000" w:rsidDel="00000000" w:rsidP="00000000" w:rsidRDefault="00000000" w:rsidRPr="00000000" w14:paraId="00000006">
      <w:pPr>
        <w:spacing w:after="240" w:before="240" w:lineRule="auto"/>
        <w:rPr/>
      </w:pPr>
      <w:r w:rsidDel="00000000" w:rsidR="00000000" w:rsidRPr="00000000">
        <w:rPr>
          <w:rtl w:val="0"/>
        </w:rPr>
        <w:t xml:space="preserve">Управління інцидентами регламентує порядок виявлення, класифікації та локалізації порушень безпеки. Політика встановлює канали повідомлення про підозрілі події та визначає склад групи реагування. Кожен інцидент підлягає обов'язковому документуванню та пост-інцидентному аналізу для виявлення кореневих причин та запобігання повторним випадкам. Такий цикл сприяє безперервному поліпшенню системи управління інформаційною безпекою згідно з вимогами розділу 10 стандарту ISO/IEC 27001.</w:t>
      </w:r>
    </w:p>
    <w:p w:rsidR="00000000" w:rsidDel="00000000" w:rsidP="00000000" w:rsidRDefault="00000000" w:rsidRPr="00000000" w14:paraId="00000007">
      <w:pPr>
        <w:spacing w:after="240" w:before="240" w:lineRule="auto"/>
        <w:rPr/>
      </w:pPr>
      <w:r w:rsidDel="00000000" w:rsidR="00000000" w:rsidRPr="00000000">
        <w:rPr>
          <w:rtl w:val="0"/>
        </w:rPr>
        <w:t xml:space="preserve">Окремі вимоги висуваються до процесів безпечної розробки та супроводу систем. Впровадження концепції DevSecOps передбачає інтеграцію контролів безпеки на кожному етапі створення програмного забезпечення, включаючи рев’ю коду та тестування на вразливості перед виходом у продуктивне середовище. Управління змінами забезпечує прозорість та контрольованість будь-яких модифікацій інфраструктури, що знижує ризик виникнення технічних збоїв або появи нових вразливостей.</w:t>
      </w:r>
    </w:p>
    <w:p w:rsidR="00000000" w:rsidDel="00000000" w:rsidP="00000000" w:rsidRDefault="00000000" w:rsidRPr="00000000" w14:paraId="00000008">
      <w:pPr>
        <w:spacing w:after="240" w:before="240" w:lineRule="auto"/>
        <w:rPr/>
      </w:pPr>
      <w:r w:rsidDel="00000000" w:rsidR="00000000" w:rsidRPr="00000000">
        <w:rPr>
          <w:rtl w:val="0"/>
        </w:rPr>
        <w:t xml:space="preserve">Для забезпечення безперервності діяльності організація впроваджує процедури резервного копіювання та відновлення. Визначаються цільові показники RTO та RPO для різних класів систем. Плани відновлення підлягають регулярному тестуванню для підтвердження їх актуальності та здатності персоналу діяти в умовах кризових ситуацій. Це відповідає функціям Recover фреймворку NIST.</w:t>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va1kmky8hty1" w:id="0"/>
      <w:bookmarkEnd w:id="0"/>
      <w:r w:rsidDel="00000000" w:rsidR="00000000" w:rsidRPr="00000000">
        <w:rPr>
          <w:color w:val="000000"/>
          <w:sz w:val="26"/>
          <w:szCs w:val="26"/>
          <w:rtl w:val="0"/>
        </w:rPr>
        <w:t xml:space="preserve">Аналіз методологій та оновлення політики</w:t>
      </w:r>
    </w:p>
    <w:p w:rsidR="00000000" w:rsidDel="00000000" w:rsidP="00000000" w:rsidRDefault="00000000" w:rsidRPr="00000000" w14:paraId="0000000A">
      <w:pPr>
        <w:spacing w:after="240" w:before="240" w:lineRule="auto"/>
        <w:rPr/>
      </w:pPr>
      <w:r w:rsidDel="00000000" w:rsidR="00000000" w:rsidRPr="00000000">
        <w:rPr>
          <w:rtl w:val="0"/>
        </w:rPr>
        <w:t xml:space="preserve">Співставлення розробленої політики з рекомендаціями NIST та COBIT дозволило виявити сфери, що потребують подальшого врегулювання, зокрема в частині кількісного оцінювання ефективності контролів та глибшої інтеграції безпеки у ланцюги постачання. Методика регулярного оновлення політики передбачає її щорічний плановий перегляд або позапланову актуалізацію у разі виявлення системних недоліків під час аудитів чи після масштабних інцидентів. Процедура оновлення включає ініціацію змін офісом інформаційної безпеки, погодження з юридичним департаментом, затвердження керівництвом та обов'язкове доведення нових вимог до персоналу через систему внутрішнього навчання.</w:t>
      </w:r>
    </w:p>
    <w:p w:rsidR="00000000" w:rsidDel="00000000" w:rsidP="00000000" w:rsidRDefault="00000000" w:rsidRPr="00000000" w14:paraId="0000000B">
      <w:pPr>
        <w:pStyle w:val="Heading3"/>
        <w:keepNext w:val="0"/>
        <w:keepLines w:val="0"/>
        <w:spacing w:before="280" w:lineRule="auto"/>
        <w:rPr>
          <w:color w:val="000000"/>
          <w:sz w:val="26"/>
          <w:szCs w:val="26"/>
        </w:rPr>
      </w:pPr>
      <w:bookmarkStart w:colFirst="0" w:colLast="0" w:name="_6chl0nehquja" w:id="1"/>
      <w:bookmarkEnd w:id="1"/>
      <w:r w:rsidDel="00000000" w:rsidR="00000000" w:rsidRPr="00000000">
        <w:rPr>
          <w:color w:val="000000"/>
          <w:sz w:val="26"/>
          <w:szCs w:val="26"/>
          <w:rtl w:val="0"/>
        </w:rPr>
        <w:t xml:space="preserve">Внутрішій аудит і оцінка зрілості</w:t>
      </w:r>
    </w:p>
    <w:p w:rsidR="00000000" w:rsidDel="00000000" w:rsidP="00000000" w:rsidRDefault="00000000" w:rsidRPr="00000000" w14:paraId="0000000C">
      <w:pPr>
        <w:spacing w:after="240" w:before="240" w:lineRule="auto"/>
        <w:rPr/>
      </w:pPr>
      <w:r w:rsidDel="00000000" w:rsidR="00000000" w:rsidRPr="00000000">
        <w:rPr>
          <w:rtl w:val="0"/>
        </w:rPr>
        <w:t xml:space="preserve">Процедура внутрішнього аудиту відповідності політиці безпеки розроблена як інструмент незалежної оцінки ефективності контролів. Аудит проводиться за ризик-орієнтованим підходом і охоплює перевірку технічних конфігурацій, аналіз журналів подій та проведення інтерв’ю з персоналом. Критеріями аудиту виступають вимоги цієї політики та стандарту ISO/IEC 27001. Виявлені невідповідності класифікуються за рівнями критичності, а за результатами перевірки формується звіт із планом коригувальних дій.</w:t>
      </w:r>
    </w:p>
    <w:p w:rsidR="00000000" w:rsidDel="00000000" w:rsidP="00000000" w:rsidRDefault="00000000" w:rsidRPr="00000000" w14:paraId="0000000D">
      <w:pPr>
        <w:spacing w:after="240" w:before="240" w:lineRule="auto"/>
        <w:rPr/>
      </w:pPr>
      <w:r w:rsidDel="00000000" w:rsidR="00000000" w:rsidRPr="00000000">
        <w:rPr>
          <w:rtl w:val="0"/>
        </w:rPr>
        <w:t xml:space="preserve">Звіт за результатами первинної оцінки зрілості системи відображає поточний стан безпеки за п’ятибальною шкалою. На поточному етапі система оцінюється на рівні 3 (Визначений). Це обґрунтовується наявністю формалізованих процедур та задокументованих процесів, що виконуються на постійній основі. Проте для переходу на рівень 4 (Керований) необхідно впровадити систему метрик для вимірювання ефективності кожного окремого контролю та автоматизувати процеси збору й аналізу даних про стан захищеності.</w:t>
      </w:r>
    </w:p>
    <w:p w:rsidR="00000000" w:rsidDel="00000000" w:rsidP="00000000" w:rsidRDefault="00000000" w:rsidRPr="00000000" w14:paraId="0000000E">
      <w:pPr>
        <w:spacing w:after="240" w:before="240" w:lineRule="auto"/>
        <w:rPr/>
      </w:pPr>
      <w:r w:rsidDel="00000000" w:rsidR="00000000" w:rsidRPr="00000000">
        <w:rPr>
          <w:rtl w:val="0"/>
        </w:rPr>
        <w:t xml:space="preserve">Найбільш зрілими визначено домени контролю доступу та управління ризиками. Сфери, що потребують посилення, включають моніторинг активності третіх сторін та автоматизацію реагування на інциденти. Рекомендовано впровадити рішення класу SIEM для кореляції подій безпеки та розширити програму підвищення обізнаності персоналу шляхом проведення регулярних симуляцій фішингових атак. Загалом, розроблена політика та супровідні процедури створюють цілісний механізм захисту, що відповідає сучасним викликам та міжнародним стандартам.</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