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sz w:val="40"/>
        </w:rPr>
        <w:t>Lorraine Kim</w:t>
      </w:r>
    </w:p>
    <w:p>
      <w:pPr>
        <w:spacing w:after="0" w:before="0"/>
      </w:pPr>
      <w:r>
        <w:rPr>
          <w:b/>
          <w:color w:val="3D7368"/>
          <w:sz w:val="20"/>
        </w:rPr>
        <w:t>Product Designer</w:t>
      </w:r>
    </w:p>
    <w:p>
      <w:pPr>
        <w:spacing w:after="120" w:before="0"/>
      </w:pPr>
      <w:r>
        <w:rPr>
          <w:b w:val="0"/>
          <w:color w:val="63676A"/>
          <w:sz w:val="18"/>
        </w:rPr>
        <w:t>San Mateo, CA · lorraine.kim@gmail.com · 347-271-2651 · lorrainekim.com · linkedin.com/in/lorrkim</w:t>
      </w:r>
    </w:p>
    <w:p>
      <w:pPr>
        <w:spacing w:after="0" w:before="0"/>
      </w:pPr>
      <w:r>
        <w:rPr>
          <w:b w:val="0"/>
        </w:rPr>
        <w:t>Product designer for complex financial workflows, with fifteen years in institutional finance: buy-side trading operations and supporting asset managers on Bloomberg’s order management system. I research, design and build in code, and test with real users and data.</w:t>
      </w:r>
    </w:p>
    <w:p>
      <w:pPr>
        <w:spacing w:after="40" w:before="180"/>
      </w:pPr>
      <w:r>
        <w:rPr>
          <w:b/>
          <w:color w:val="3D7368"/>
          <w:sz w:val="16"/>
        </w:rPr>
        <w:t>SELECTED PRODUCT WORK</w:t>
      </w:r>
    </w:p>
    <w:p>
      <w:pPr>
        <w:tabs>
          <w:tab w:pos="10512" w:val="right"/>
        </w:tabs>
        <w:spacing w:after="0" w:before="0"/>
      </w:pPr>
      <w:r>
        <w:rPr>
          <w:b/>
        </w:rPr>
        <w:t>FXpress</w:t>
      </w:r>
      <w:r>
        <w:rPr>
          <w:color w:val="63676A"/>
        </w:rPr>
        <w:t xml:space="preserve"> · Exchange-rate widget for people who send money abroad</w:t>
      </w:r>
      <w:r>
        <w:rPr>
          <w:color w:val="63676A"/>
        </w:rPr>
        <w:tab/>
        <w:t>Live · Nov 2025 – Oct 2026</w:t>
      </w:r>
    </w:p>
    <w:p>
      <w:pPr>
        <w:pStyle w:val="ListBullet"/>
        <w:spacing w:after="20"/>
      </w:pPr>
      <w:r>
        <w:t>Designed and built a widget that shows where today’s rate sits in its 30-day range across 18 currency pairs, then links to the sender’s own provider.</w:t>
      </w:r>
    </w:p>
    <w:p>
      <w:pPr>
        <w:pStyle w:val="ListBullet"/>
        <w:spacing w:after="20"/>
      </w:pPr>
      <w:r>
        <w:t>Interviewed 4 senders and tested with 5. All 5 completed the send flow; I fixed the button hierarchy and the threshold field where testers got stuck.</w:t>
      </w:r>
    </w:p>
    <w:p>
      <w:pPr>
        <w:pStyle w:val="ListBullet"/>
        <w:spacing w:after="20"/>
      </w:pPr>
      <w:r>
        <w:t>Kept every calculation in code and limited the AI assistant to rewording a sentence the code had written, with a check that rejects advice or a changed meaning.</w:t>
      </w:r>
    </w:p>
    <w:p>
      <w:pPr>
        <w:pStyle w:val="ListBullet"/>
        <w:spacing w:after="20"/>
      </w:pPr>
      <w:r>
        <w:t>Used live logs to find that the 30-day comparison read “low” in 68 of 75 readings during a steady trend, and changed the copy.</w:t>
      </w:r>
    </w:p>
    <w:p>
      <w:pPr>
        <w:tabs>
          <w:tab w:pos="10512" w:val="right"/>
        </w:tabs>
        <w:spacing w:after="0" w:before="0"/>
      </w:pPr>
      <w:r>
        <w:rPr>
          <w:b/>
        </w:rPr>
        <w:t>ReconLayer</w:t>
      </w:r>
      <w:r>
        <w:rPr>
          <w:color w:val="63676A"/>
        </w:rPr>
        <w:t xml:space="preserve"> · Reconciliation add-on for small middle-office teams</w:t>
      </w:r>
      <w:r>
        <w:rPr>
          <w:color w:val="63676A"/>
        </w:rPr>
        <w:tab/>
        <w:t>Working prototype · 12 weeks</w:t>
      </w:r>
    </w:p>
    <w:p>
      <w:pPr>
        <w:pStyle w:val="ListBullet"/>
        <w:spacing w:after="20"/>
      </w:pPr>
      <w:r>
        <w:t>Designed and built a Google Sheets add-on that compares internal and broker files, classifies breaks with fixed rules, and drafts counterparty emails for the analyst to review.</w:t>
      </w:r>
    </w:p>
    <w:p>
      <w:pPr>
        <w:pStyle w:val="ListBullet"/>
        <w:spacing w:after="20"/>
      </w:pPr>
      <w:r>
        <w:t>Interviewed 5 practitioners across 4 buy-side firms and tested with 5 operators. 4 finished, with an average ease rating of 4.75 out of 5.</w:t>
      </w:r>
    </w:p>
    <w:p>
      <w:pPr>
        <w:pStyle w:val="ListBullet"/>
        <w:spacing w:after="20"/>
      </w:pPr>
      <w:r>
        <w:t>Showed missing trades separately from value differences so they don’t sink to the bottom of a ranked list.</w:t>
      </w:r>
    </w:p>
    <w:p>
      <w:pPr>
        <w:pStyle w:val="ListBullet"/>
        <w:spacing w:after="20"/>
      </w:pPr>
      <w:r>
        <w:t>Revised the email prompt three times to stop the model guessing at the cause of each break.</w:t>
      </w:r>
    </w:p>
    <w:p>
      <w:pPr>
        <w:tabs>
          <w:tab w:pos="10512" w:val="right"/>
        </w:tabs>
        <w:spacing w:after="0" w:before="0"/>
      </w:pPr>
      <w:r>
        <w:rPr>
          <w:b/>
        </w:rPr>
        <w:t>Hwang Yoo-Yup Archive</w:t>
      </w:r>
      <w:r>
        <w:rPr>
          <w:color w:val="63676A"/>
        </w:rPr>
        <w:t xml:space="preserve"> · Website for a Korean modernist painter’s estate</w:t>
      </w:r>
      <w:r>
        <w:rPr>
          <w:color w:val="63676A"/>
        </w:rPr>
        <w:tab/>
        <w:t>Paid client · 9 weeks · Live</w:t>
      </w:r>
    </w:p>
    <w:p>
      <w:pPr>
        <w:pStyle w:val="ListBullet"/>
        <w:spacing w:after="20"/>
      </w:pPr>
      <w:r>
        <w:t>Designed the information architecture, visual system and curatorial copy, and built the site in Framer: a thematic path for newcomers and an archive mode for researchers, in one site the estate can maintain.</w:t>
      </w:r>
    </w:p>
    <w:p>
      <w:pPr>
        <w:spacing w:after="40" w:before="180"/>
      </w:pPr>
      <w:r>
        <w:rPr>
          <w:b/>
          <w:color w:val="3D7368"/>
          <w:sz w:val="16"/>
        </w:rPr>
        <w:t>DESIGN EXPERIENCE</w:t>
      </w:r>
    </w:p>
    <w:p>
      <w:pPr>
        <w:tabs>
          <w:tab w:pos="10512" w:val="right"/>
        </w:tabs>
        <w:spacing w:after="0" w:before="0"/>
      </w:pPr>
      <w:r>
        <w:rPr>
          <w:b/>
        </w:rPr>
        <w:t>OOJOO Studios</w:t>
      </w:r>
      <w:r>
        <w:rPr>
          <w:color w:val="63676A"/>
        </w:rPr>
        <w:t xml:space="preserve"> · Product Designer (independent studio), San Francisco</w:t>
      </w:r>
      <w:r>
        <w:rPr>
          <w:color w:val="63676A"/>
        </w:rPr>
        <w:tab/>
        <w:t>2024 – Present</w:t>
      </w:r>
    </w:p>
    <w:p>
      <w:pPr>
        <w:pStyle w:val="ListBullet"/>
        <w:spacing w:after="20"/>
      </w:pPr>
      <w:r>
        <w:t>Research, design and build financial tools and client websites, prototyping in code with Claude Code and Cursor. Build Figma component libraries, variables and design tokens.</w:t>
      </w:r>
    </w:p>
    <w:p>
      <w:pPr>
        <w:spacing w:after="40" w:before="180"/>
      </w:pPr>
      <w:r>
        <w:rPr>
          <w:b/>
          <w:color w:val="3D7368"/>
          <w:sz w:val="16"/>
        </w:rPr>
        <w:t>INSTITUTIONAL FINANCE (NON-DESIGN ROLES)</w:t>
      </w:r>
    </w:p>
    <w:p>
      <w:pPr>
        <w:tabs>
          <w:tab w:pos="10512" w:val="right"/>
        </w:tabs>
        <w:spacing w:after="0" w:before="0"/>
      </w:pPr>
      <w:r>
        <w:rPr>
          <w:b/>
        </w:rPr>
        <w:t>Bloomberg</w:t>
      </w:r>
      <w:r>
        <w:rPr>
          <w:color w:val="63676A"/>
        </w:rPr>
        <w:t xml:space="preserve"> · AIM Trading Analyst, San Francisco</w:t>
      </w:r>
      <w:r>
        <w:rPr>
          <w:color w:val="63676A"/>
        </w:rPr>
        <w:tab/>
        <w:t>2020 – 2022</w:t>
      </w:r>
    </w:p>
    <w:p>
      <w:pPr>
        <w:pStyle w:val="ListBullet"/>
        <w:spacing w:after="20"/>
      </w:pPr>
      <w:r>
        <w:t>Supported buy-side clients on Bloomberg AIM, diagnosed trading-workflow issues, and tracked fixes with Product and Engineering in Jira.</w:t>
      </w:r>
    </w:p>
    <w:p>
      <w:pPr>
        <w:pStyle w:val="ListBullet"/>
        <w:spacing w:after="20"/>
      </w:pPr>
      <w:r>
        <w:t>Turned recurring client issues into product requests that were adopted into AIM.</w:t>
      </w:r>
    </w:p>
    <w:p>
      <w:pPr>
        <w:tabs>
          <w:tab w:pos="10512" w:val="right"/>
        </w:tabs>
        <w:spacing w:after="0" w:before="0"/>
      </w:pPr>
      <w:r>
        <w:rPr>
          <w:b/>
        </w:rPr>
        <w:t>Mizuho Alternative Investments</w:t>
      </w:r>
      <w:r>
        <w:rPr>
          <w:color w:val="63676A"/>
        </w:rPr>
        <w:t xml:space="preserve"> · AVP, Trading Operations, New York</w:t>
      </w:r>
      <w:r>
        <w:rPr>
          <w:color w:val="63676A"/>
        </w:rPr>
        <w:tab/>
        <w:t>2009 – 2020</w:t>
      </w:r>
    </w:p>
    <w:p>
      <w:pPr>
        <w:pStyle w:val="ListBullet"/>
        <w:spacing w:after="20"/>
      </w:pPr>
      <w:r>
        <w:t>Re-engineered reconciliation processes for an $8B AUM multi-strategy platform, cutting operational cycle time by 25%. Owned requirements through UAT for system upgrades.</w:t>
      </w:r>
    </w:p>
    <w:p>
      <w:pPr>
        <w:pStyle w:val="ListBullet"/>
        <w:spacing w:after="20"/>
      </w:pPr>
      <w:r>
        <w:t>Managed post-trade settlement and cash forecasting across equities, fixed income, futures, FX and swaps.</w:t>
      </w:r>
    </w:p>
    <w:p>
      <w:pPr>
        <w:tabs>
          <w:tab w:pos="10512" w:val="right"/>
        </w:tabs>
        <w:spacing w:after="0" w:before="0"/>
      </w:pPr>
      <w:r>
        <w:rPr>
          <w:b/>
        </w:rPr>
        <w:t>AllianceBernstein</w:t>
      </w:r>
      <w:r>
        <w:rPr>
          <w:color w:val="63676A"/>
        </w:rPr>
        <w:t xml:space="preserve"> · Associate Portfolio Manager, New York</w:t>
      </w:r>
      <w:r>
        <w:rPr>
          <w:color w:val="63676A"/>
        </w:rPr>
        <w:tab/>
        <w:t>2007 – 2009</w:t>
      </w:r>
    </w:p>
    <w:p>
      <w:pPr>
        <w:pStyle w:val="ListBullet"/>
        <w:spacing w:after="20"/>
      </w:pPr>
      <w:r>
        <w:t>Managed FX-derivative hedging and risk analytics for institutional equity portfolios.</w:t>
      </w:r>
    </w:p>
    <w:p>
      <w:pPr>
        <w:spacing w:after="40" w:before="180"/>
      </w:pPr>
      <w:r>
        <w:rPr>
          <w:b/>
          <w:color w:val="3D7368"/>
          <w:sz w:val="16"/>
        </w:rPr>
        <w:t>SKILLS</w:t>
      </w:r>
    </w:p>
    <w:p>
      <w:pPr>
        <w:spacing w:after="0" w:before="0"/>
      </w:pPr>
      <w:r>
        <w:rPr>
          <w:b/>
        </w:rPr>
        <w:t xml:space="preserve">Product &amp; UX: </w:t>
      </w:r>
      <w:r>
        <w:t>User research, usability testing, workflow mapping, information architecture, interaction design, prototyping</w:t>
      </w:r>
    </w:p>
    <w:p>
      <w:pPr>
        <w:spacing w:after="0" w:before="0"/>
      </w:pPr>
      <w:r>
        <w:rPr>
          <w:b/>
        </w:rPr>
        <w:t xml:space="preserve">UI &amp; systems: </w:t>
      </w:r>
      <w:r>
        <w:t>Figma, components and variants, variables, design tokens, responsive design</w:t>
      </w:r>
    </w:p>
    <w:p>
      <w:pPr>
        <w:spacing w:after="0" w:before="0"/>
      </w:pPr>
      <w:r>
        <w:rPr>
          <w:b/>
        </w:rPr>
        <w:t xml:space="preserve">AI &amp; build: </w:t>
      </w:r>
      <w:r>
        <w:t>AI interaction patterns, prompt design, Claude API, Gemini API, Google Apps Script, Claude Code, Cursor, Vercel, Netlify</w:t>
      </w:r>
    </w:p>
    <w:p>
      <w:pPr>
        <w:spacing w:after="40" w:before="180"/>
      </w:pPr>
      <w:r>
        <w:rPr>
          <w:b/>
          <w:color w:val="3D7368"/>
          <w:sz w:val="16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</w:rPr>
        <w:t>DesignLab</w:t>
      </w:r>
      <w:r>
        <w:rPr>
          <w:color w:val="63676A"/>
        </w:rPr>
        <w:t xml:space="preserve"> · UX Academy, 2023 – 2024 · University of California, Berkeley, B.A. Legal Studies</w:t>
      </w:r>
      <w:r>
        <w:rPr>
          <w:color w:val="63676A"/>
        </w:rPr>
        <w:tab/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