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left"/>
      </w:pPr>
      <w:r>
        <w:rPr>
          <w:b w:val="0"/>
        </w:rPr>
        <w:t>October 4, 2026</w:t>
      </w:r>
    </w:p>
    <w:p>
      <w:pPr>
        <w:spacing w:after="240" w:line="240" w:lineRule="auto"/>
        <w:jc w:val="left"/>
      </w:pPr>
      <w:r>
        <w:rPr>
          <w:b w:val="0"/>
        </w:rPr>
        <w:t>Editor-in-Chief</w:t>
        <w:br/>
        <w:t>MIS Quarterly</w:t>
      </w:r>
    </w:p>
    <w:p>
      <w:pPr>
        <w:spacing w:after="240" w:line="240" w:lineRule="auto"/>
        <w:jc w:val="left"/>
      </w:pPr>
      <w:r>
        <w:rPr>
          <w:b/>
        </w:rPr>
        <w:t>Re: Submission of “Acquired, Not Yet Assimilated? Complementary Assets and the Limits of Occupation-Level Evidence on Generative Visual AI”</w:t>
      </w:r>
    </w:p>
    <w:p>
      <w:pPr>
        <w:spacing w:after="160" w:line="240" w:lineRule="auto"/>
        <w:jc w:val="left"/>
      </w:pPr>
      <w:r>
        <w:rPr>
          <w:b w:val="0"/>
        </w:rPr>
        <w:t>Dear Editor-in-Chief,</w:t>
      </w:r>
    </w:p>
    <w:p>
      <w:pPr>
        <w:spacing w:after="160" w:line="240" w:lineRule="auto"/>
        <w:jc w:val="left"/>
      </w:pPr>
      <w:r>
        <w:rPr>
          <w:b w:val="0"/>
        </w:rPr>
        <w:t>We submit the enclosed manuscript for consideration as a Research Article in MIS Quarterly. It asks whether the spread of generative visual AI is displacing creative work, and what public data can and cannot tell us about that question. We draw on the information systems literature on the gap between acquiring an innovation and assimilating it into work (Cooper &amp; Zmud, 1990; Fichman &amp; Kemerer, 1999) and on macroeconomic accounts of general-purpose technologies.</w:t>
      </w:r>
    </w:p>
    <w:p>
      <w:pPr>
        <w:spacing w:after="160" w:line="240" w:lineRule="auto"/>
        <w:jc w:val="left"/>
      </w:pPr>
      <w:r>
        <w:rPr>
          <w:b w:val="0"/>
        </w:rPr>
        <w:t>Contribution. First, we extend assimilation theory to generative AI. A firm reassigns a visual task to a generator only when the acceptance rate of output exceeds a threshold set by generation cost, review cost, and the cost of human production. Complementary assets enter through review cost, which makes review a bottleneck task, and near-free acquisition lets acquisition run ahead of assimilation. Embedding this in a task-based model of labor demand yields three propositions: review sets a floor on the labor that assimilation can save; cheaper generation raises employment only if demand for visual output is elastic; and employers who adjust through attrition make job adverts an earlier signal than employment. Second, we derive a detectability bound that compares the hiring response implied by complete assimilation with the minimum detectable effect of standard exposure designs. Third, we assemble open evidence on acquisition and barriers and specify the firm-level data that would discriminate among four competing accounts.</w:t>
      </w:r>
    </w:p>
    <w:p>
      <w:pPr>
        <w:spacing w:after="160" w:line="240" w:lineRule="auto"/>
        <w:jc w:val="left"/>
      </w:pPr>
      <w:r>
        <w:rPr>
          <w:b w:val="0"/>
        </w:rPr>
        <w:t>Findings. Eurostat data show that 9.6 percent of EU enterprises with ten or more employees use AI that generates pictures, video, or audio. Firms that considered AI and did not adopt it cite missing expertise (70 percent) and legal uncertainty (54 percent) far more often than lack of usefulness (18 percent). In European and Canadian job-advert data, exposure to visual content creation is associated with small, imprecise declines after 2022 that are no larger than the trend that preceded the technology. We therefore find no detectable labor-market effect so far. We are explicit that this is not evidence of no effect: the bound shows that these designs could not detect even complete assimilation at the substitution effects estimated on freelance platforms.</w:t>
      </w:r>
    </w:p>
    <w:p>
      <w:pPr>
        <w:spacing w:after="160" w:line="240" w:lineRule="auto"/>
        <w:jc w:val="left"/>
      </w:pPr>
      <w:r>
        <w:rPr>
          <w:b w:val="0"/>
        </w:rPr>
        <w:t>Fit with the journal. The paper contributes theory about how organizational complements govern the assimilation of a new class of IT artifact, and it supplies a transparent benchmark for evaluating empirical claims about generative AI and work. We believe it speaks to readers interested in IT assimilation, the organizational value of IT, and the impact of AI on work.</w:t>
      </w:r>
    </w:p>
    <w:p>
      <w:pPr>
        <w:spacing w:after="160" w:line="240" w:lineRule="auto"/>
        <w:jc w:val="left"/>
      </w:pPr>
      <w:r>
        <w:rPr>
          <w:b w:val="0"/>
        </w:rPr>
        <w:t>Limitations. We do not observe assimilation inside firms. Our evidence is drawn from public aggregate sources, covers two post-2022 years in Europe, and relies on an exposure measure for which two human coders disagreed substantially. We report these limits in the manuscript and treat the macroeconomic reading as an interpretation through the model, not a test.</w:t>
      </w:r>
    </w:p>
    <w:p>
      <w:pPr>
        <w:spacing w:after="160" w:line="240" w:lineRule="auto"/>
        <w:jc w:val="left"/>
      </w:pPr>
      <w:r>
        <w:rPr>
          <w:b w:val="0"/>
        </w:rPr>
        <w:t>Statements. The manuscript has not been published and is not under consideration elsewhere. All data are public, and the code, prompts, task scores, and human coding files needed to reproduce the results are available in an anonymized replication repository. Generative AI use: large language models were used as measurement instruments to code O*NET and NOC task statements, and a generative AI assistant was used to help write analysis code and to draft and edit the manuscript text. The authors reviewed all results, text, and code and take responsibility for the content. The manuscript has been anonymized for double-anonymous review.</w:t>
      </w:r>
    </w:p>
    <w:p>
      <w:pPr>
        <w:spacing w:after="160" w:line="240" w:lineRule="auto"/>
        <w:jc w:val="left"/>
      </w:pPr>
      <w:r>
        <w:rPr>
          <w:b w:val="0"/>
        </w:rPr>
        <w:t>Thank you for considering our work. We would be glad to provide any additional information.</w:t>
      </w:r>
    </w:p>
    <w:p>
      <w:pPr>
        <w:spacing w:after="80" w:line="240" w:lineRule="auto"/>
        <w:jc w:val="left"/>
      </w:pPr>
      <w:r>
        <w:rPr>
          <w:b w:val="0"/>
        </w:rPr>
        <w:t>Sincerely,</w:t>
      </w:r>
    </w:p>
    <w:p>
      <w:pPr>
        <w:spacing w:after="0" w:line="240" w:lineRule="auto"/>
        <w:jc w:val="left"/>
      </w:pPr>
      <w:r>
        <w:rPr>
          <w:b w:val="0"/>
        </w:rPr>
        <w:t>The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