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Counting Customers with Language Models: Heterogeneity Compression in Synthetic Purchase Data</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Large language models (LLMs) are increasingly used to create synthetic customers for pre-testing marketing decisions, but evaluations have concentrated on ratings, choices, and stated willingness to pay. We study an output that customer analytics depends on more directly: the number of purchases a customer makes in a period. Building on the Poisson–gamma account of purchase counts, we show analytically that overdispersion measures unobserved customer heterogeneity, derive how much of it a persona-conditioned simulator can carry, and show how a hybrid design avoids double counting. We evaluate four elicitation designs across eight LLMs in public transaction settings (mean counts of about 0.5, 4.8, and 7.8) and in a randomized email experiment. Direct and day-by-day designs collapse toward a single value in nearly every model and setting, and larger, more recent models do not change this. Describing a distribution recovers part of the dispersion but under-produces zero counts where zeros are common. Personas built from real household demographics change nothing, because those demographics explain about 1% of the heterogeneity in counts. The hybrid matches dispersion only when the model’s mean is accurate. Promotion effects have the right sign in most settings, yet their size varies by an order of magnitude with model and prompt, and the absolute lift in purchase probability is overstated in 15 of 16 configurations (median about tenfold). Treating the simulator as a decision-support artifact at the interface of information systems and marketing analytics, we show why the Poisson–gamma result becomes a managerial problem when heterogeneity is generated instead of estimated, read the propositions as design constraints and a calibration mechanism, derive design principles and an evaluation protocol, and show that the overstated lifts would lead a firm to approve promotions that a randomized test rejects. We close with organizational implications for validating and governing synthetic data in analytics systems.</w:t>
      </w:r>
    </w:p>
    <w:p>
      <w:pPr>
        <w:pStyle w:val="BodyText"/>
      </w:pPr>
      <w:r>
        <w:rPr>
          <w:bCs/>
          <w:b/>
        </w:rPr>
        <w:t xml:space="preserve">Keywords:</w:t>
      </w:r>
      <w:r>
        <w:t xml:space="preserve"> </w:t>
      </w:r>
      <w:r>
        <w:t xml:space="preserve">synthetic customers, large language models, IT artifact, decision support systems, design science, purchase counts, overdispersion, customer heterogeneity, digital twins</w:t>
      </w:r>
    </w:p>
    <w:bookmarkStart w:id="20" w:name="introduction"/>
    <w:p>
      <w:pPr>
        <w:pStyle w:val="Heading1"/>
      </w:pPr>
      <w:r>
        <w:t xml:space="preserve">1. Introduction</w:t>
      </w:r>
    </w:p>
    <w:p>
      <w:pPr>
        <w:pStyle w:val="FirstParagraph"/>
      </w:pPr>
      <w:r>
        <w:t xml:space="preserve">Firms routinely test promotions, prices, and messages before committing money to them. Large language models (LLMs) promise a cheaper way to do so: prompt a model with a customer description, ask what that customer would do, and repeat for thousands of customers. Early studies found that such synthetic respondents produce plausible willingness-to-pay estimates and conjoint results (Brand et al. 2023), reproduce the qualitative pattern of classic behavioral experiments (Horton 2023), and, with suitable elicitation, mimic human purchase-intent ratings (Maier et al. 2025). Vendors now market</w:t>
      </w:r>
      <w:r>
        <w:t xml:space="preserve"> </w:t>
      </w:r>
      <w:r>
        <w:t xml:space="preserve">“</w:t>
      </w:r>
      <w:r>
        <w:t xml:space="preserve">digital twins</w:t>
      </w:r>
      <w:r>
        <w:t xml:space="preserve">”</w:t>
      </w:r>
      <w:r>
        <w:t xml:space="preserve"> </w:t>
      </w:r>
      <w:r>
        <w:t xml:space="preserve">of consumer panels on this basis.</w:t>
      </w:r>
    </w:p>
    <w:p>
      <w:pPr>
        <w:pStyle w:val="BodyText"/>
      </w:pPr>
      <w:r>
        <w:t xml:space="preserve">What counts as validation in these studies is almost always a rating, a choice, or a price. Customer analytics, however, runs on counts. The number of purchases or visits per customer and period feeds customer lifetime value, repeat-purchase forecasts, and budget allocation, and marketing science has long modeled these counts as a Poisson process whose rate differs across customers (Ehrenberg 1959, Schmittlein et al. 1987, Fader et al. 2005). Because of this structure, the spread of a count distribution carries information about something firms care about, namely how much customers differ. A simulator that gets the average right but flattens the spread will mislead any decision that depends on heavy buyers, on the share of customers who do not buy at all, or on the uncertainty around a forecast.</w:t>
      </w:r>
    </w:p>
    <w:p>
      <w:pPr>
        <w:pStyle w:val="BodyText"/>
      </w:pPr>
      <w:r>
        <w:t xml:space="preserve">There is good reason to worry about flattening. Studies of silicon samples repeatedly report variance collapse: simulated answers cluster on the modal response and are narrower than human ones (Li et al. 2025, Tigre and Souto 2026), and instruction-tuned models appear unable to sample from distributions they can otherwise describe (Jang et al. 2026). For count data this problem has a precise statistical form. If customers differ in their purchase rates, counts are overdispersed relative to a Poisson process; a simulator that compresses heterogeneity therefore shows up first as underdispersion and as a distorted share of zeros. Yet we found no study that evaluates LLM-generated purchase counts against Poisson or negative binomial benchmarks.</w:t>
      </w:r>
    </w:p>
    <w:p>
      <w:pPr>
        <w:pStyle w:val="BodyText"/>
      </w:pPr>
      <w:r>
        <w:t xml:space="preserve">The question is also one for information systems research. A synthetic-customer simulator is an IT artifact in the sense of a system that organizations design, deploy, and use to support decisions (Orlikowski and Iacono 2001, Hevner et al. 2004). Its value does not lie in the language model itself but in the decisions it supports, so the relevant test is task–technology fit (Goodhue and Thompson 1995): does the artifact reproduce the properties of customer behavior on which the decision depends? For promotion planning, those properties are the share of customers who do not buy, the weight of heavy buyers, and the absolute size of an effect. We therefore treat the elicitation design, meaning how the model is asked, how its answers become counts, and where heterogeneity comes from, as the artifact’s design variable, and ask which designs fit which decisions.</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which is marketed as a</w:t>
      </w:r>
      <w:r>
        <w:t xml:space="preserve"> </w:t>
      </w:r>
      <w:r>
        <w:t xml:space="preserve">“</w:t>
      </w:r>
      <w:r>
        <w:t xml:space="preserve">digital twin</w:t>
      </w:r>
      <w:r>
        <w:t xml:space="preserve">”</w:t>
      </w:r>
      <w:r>
        <w:t xml:space="preserve"> </w:t>
      </w:r>
      <w:r>
        <w:t xml:space="preserve">of a customer base. A twin is only as useful as the properties it preserves. If it preserves averages but not the spread of behavior, the systems built on it inherit a bias that looks like data but is not. Fluent, plausible output also invites reliance beyond what the system warrants (Lee and See 2004), so the limits of AI-based decision support are not a technical footnote but a question of how organizations should validate and use such outputs. We contribute to that question by showing, for a quantity that analytics systems depend on, which design choices preserve the property that matters and which do not.</w:t>
      </w:r>
    </w:p>
    <w:p>
      <w:pPr>
        <w:pStyle w:val="BodyText"/>
      </w:pPr>
      <w:r>
        <w:t xml:space="preserve">We ask four questions. Does the per-period purchase-count distribution of synthetic customers match the real one in mean, dispersion, zero share, and tail (RQ1)? Does variance collapse appear in count data as underdispersion (RQ2)? Do the elicitation and sampling design change fidelity (RQ3)? And does the promotion effect estimated with synthetic customers agree with a randomized experiment in direction and size (RQ4)? To answer them we compare four elicitation designs, run with eight LLMs and two prompt variants, against public transaction data sets whose mean counts differ by a factor of ten or more, and we test the same models against a randomized email experiment.</w:t>
      </w:r>
    </w:p>
    <w:p>
      <w:pPr>
        <w:pStyle w:val="BodyText"/>
      </w:pPr>
      <w:r>
        <w:t xml:space="preserve">The study makes five contributions. First, we give a short analytical account of how much heterogeneity a persona-conditioned simulator can carry, and of how an externally injected heterogeneity term must be calibrated to avoid double counting (Propositions 1 and 2). Second, we provide evidence across designs, models, and settings that direct and day-by-day designs collapse, that describing a distribution only partly repairs the problem, and that a hybrid design reproduces dispersion only when the model supplies an accurate mean. Third, in the experimental setting we show that relative and absolute effects can tell different stories when the simulated base rate is wrong, and that the absolute lift in purchase probability is overstated in 15 of the 16 configurations we tested. Fourth, we explain why a familiar statistical result becomes a new managerial problem when behavior is generated rather than estimated (a bound set by the firm’s data assets, a validation paradox, silent failure, and shifting components), and we add a result on customer concentration (Proposition 3). Fifth, we translate these findings into design principles for synthetic-customer systems and a diagnostic evaluation protocol, and we show in a stylized example how the overstated lifts would change a go/no-go decision.</w:t>
      </w:r>
    </w:p>
    <w:p>
      <w:pPr>
        <w:pStyle w:val="BodyText"/>
      </w:pPr>
      <w:r>
        <w:t xml:space="preserve">The remainder of the paper is organized as follows. Section 2 reviews the literature and states the gap. Section 3 develops the framework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report that GPT models are less patient than humans in intertemporal choices. Related studies find that LLM-generated data can track the direction of experimental treatment effects, although the magnitudes tend to be overstated (Hewitt et al. 2024). Direct elicitation of numerical ratings yields response distributions that are unrealistically narrow, and recent methods address this by mapping free-text answers to rating scales through embedding similarity (Maier et al. 2025).</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Prompting a model to list several candidate answers together with their probabilities partly restores diversity (Zhang et al. 2025a). In operations management, LLMs often reproduce the outcome of a hypothesis test while diverging from human data in the full response distribution, with mismatched dispersion playing a central role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such as ratings, choices, and prices.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For this reason, overdispersion relative to the Poisson is the empirical signature of customer heterogeneity (Cameron and Trivedi 1990), and a simulator that compresses heterogeneity should show up first as underdispersion. These distributions also feed customer lifetime value, repeat-purchase forecasts, and budget allocation, so errors in their shape propagate directly into downstream decisions.</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not by internal consistency alone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a technology improves performance when its capabilities match the demands of the task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also locates the topic at the interface of information systems and marketing analytics, where the design of the data and model pipeline determines which marketing decisions are well supported (Wedel and Kannan 2016). Hybrid arrangements in which a model supplies part of a judgment and a statistical procedure supplies another (Dellermann et al. 2019) are one response, and the design we call hybrid is an instance. The artifact view also clarifies what is not at stake.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theoretical-framework-and-hypotheses"/>
    <w:p>
      <w:pPr>
        <w:pStyle w:val="Heading1"/>
      </w:pPr>
      <w:r>
        <w:t xml:space="preserve">3. Theoretical Framework and Hypotheses</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With</w:t>
      </w:r>
      <w:r>
        <w:t xml:space="preserve"> </w:t>
      </w:r>
      <m:oMath>
        <m:r>
          <m:t>v</m:t>
        </m:r>
        <m:d>
          <m:dPr>
            <m:begChr m:val="("/>
            <m:endChr m:val=")"/>
            <m:sepChr m:val=""/>
            <m:grow/>
          </m:dPr>
          <m:e>
            <m:r>
              <m:t>X</m:t>
            </m:r>
          </m:e>
        </m:d>
        <m:r>
          <m:rPr>
            <m:sty m:val="p"/>
          </m:rPr>
          <m:t>=</m:t>
        </m:r>
        <m:r>
          <m:t>0</m:t>
        </m:r>
      </m:oMath>
      <w:r>
        <w:t xml:space="preserve">,</w:t>
      </w:r>
      <w:r>
        <w:t xml:space="preserve"> </w:t>
      </w:r>
      <m:oMath>
        <m:r>
          <m:rPr>
            <m:nor/>
            <m:sty m:val="p"/>
          </m:rPr>
          <m:t>Var</m:t>
        </m:r>
        <m:d>
          <m:dPr>
            <m:begChr m:val="("/>
            <m:endChr m:val=")"/>
            <m:sepChr m:val=""/>
            <m:grow/>
          </m:dPr>
          <m:e>
            <m:sSup>
              <m:e>
                <m:r>
                  <m:t>N</m:t>
                </m:r>
              </m:e>
              <m:sup>
                <m:r>
                  <m:rPr>
                    <m:sty m:val="p"/>
                  </m:rPr>
                  <m:t>*</m:t>
                </m:r>
              </m:sup>
            </m:sSup>
          </m:e>
        </m:d>
        <m:r>
          <m:rPr>
            <m:sty m:val="p"/>
          </m:rPr>
          <m:t>=</m:t>
        </m:r>
        <m:r>
          <m:rPr>
            <m:nor/>
            <m:sty m:val="p"/>
          </m:rPr>
          <m:t>Var</m:t>
        </m:r>
        <m:d>
          <m:dPr>
            <m:begChr m:val="("/>
            <m:endChr m:val=")"/>
            <m:sepChr m:val=""/>
            <m:grow/>
          </m:dPr>
          <m:e>
            <m:r>
              <m:t>m</m:t>
            </m:r>
            <m:d>
              <m:dPr>
                <m:begChr m:val="("/>
                <m:endChr m:val=")"/>
                <m:sepChr m:val=""/>
                <m:grow/>
              </m:dPr>
              <m:e>
                <m:r>
                  <m:t>X</m:t>
                </m:r>
              </m:e>
            </m:d>
          </m:e>
        </m:d>
      </m:oMath>
      <w:r>
        <w:t xml:space="preserve">, and substituting into the definition of</w:t>
      </w:r>
      <w:r>
        <w:t xml:space="preserve"> </w:t>
      </w:r>
      <m:oMath>
        <m:r>
          <m:t>α</m:t>
        </m:r>
      </m:oMath>
      <w:r>
        <w:t xml:space="preserve"> </w:t>
      </w:r>
      <w:r>
        <w:t xml:space="preserve">gives</w:t>
      </w:r>
      <w:r>
        <w:t xml:space="preserve"> </w:t>
      </w:r>
      <m:oMath>
        <m:sSup>
          <m:e>
            <m:r>
              <m:t>α</m:t>
            </m:r>
          </m:e>
          <m:sup>
            <m:r>
              <m:rPr>
                <m:sty m:val="p"/>
              </m:rPr>
              <m:t>*</m:t>
            </m:r>
          </m:sup>
        </m:sSup>
        <m:r>
          <m:rPr>
            <m:sty m:val="p"/>
          </m:rPr>
          <m:t>=</m:t>
        </m:r>
        <m:sSup>
          <m:e>
            <m:r>
              <m:t>c</m:t>
            </m:r>
          </m:e>
          <m:sup>
            <m:r>
              <m:t>2</m:t>
            </m:r>
          </m:sup>
        </m:sSup>
        <m:r>
          <m:rPr>
            <m:sty m:val="p"/>
          </m:rPr>
          <m:t>−</m:t>
        </m:r>
        <m:r>
          <m:t>1</m:t>
        </m:r>
        <m:r>
          <m:rPr>
            <m:sty m:val="p"/>
          </m:rPr>
          <m:t>/</m:t>
        </m:r>
        <m:sSup>
          <m:e>
            <m:r>
              <m:t>μ</m:t>
            </m:r>
          </m:e>
          <m:sup>
            <m:r>
              <m:rPr>
                <m:sty m:val="p"/>
              </m:rPr>
              <m:t>*</m:t>
            </m:r>
          </m:sup>
        </m:sSup>
      </m:oMath>
      <w:r>
        <w:t xml:space="preserve">. If</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μ</m:t>
            </m:r>
          </m:e>
          <m:sup>
            <m:r>
              <m:rPr>
                <m:sty m:val="p"/>
              </m:rPr>
              <m:t>*</m:t>
            </m:r>
          </m:sup>
        </m:sSup>
        <m:r>
          <m:rPr>
            <m:sty m:val="p"/>
          </m:rPr>
          <m:t>=</m:t>
        </m:r>
        <m:r>
          <m:t>μ</m:t>
        </m:r>
      </m:oMath>
      <w:r>
        <w:t xml:space="preserve"> </w:t>
      </w:r>
      <w:r>
        <w:t xml:space="preserve">and</w:t>
      </w:r>
      <w:r>
        <w:t xml:space="preserve"> </w:t>
      </w:r>
      <m:oMath>
        <m:r>
          <m:rPr>
            <m:nor/>
            <m:sty m:val="p"/>
          </m:rPr>
          <m:t>Var</m:t>
        </m:r>
        <m:d>
          <m:dPr>
            <m:begChr m:val="("/>
            <m:endChr m:val=")"/>
            <m:sepChr m:val=""/>
            <m:grow/>
          </m:dPr>
          <m:e>
            <m:r>
              <m:t>m</m:t>
            </m:r>
            <m:d>
              <m:dPr>
                <m:begChr m:val="("/>
                <m:endChr m:val=")"/>
                <m:sepChr m:val=""/>
                <m:grow/>
              </m:dPr>
              <m:e>
                <m:r>
                  <m:t>X</m:t>
                </m:r>
              </m:e>
            </m:d>
          </m:e>
        </m:d>
        <m:r>
          <m:rPr>
            <m:sty m:val="p"/>
          </m:rPr>
          <m:t>=</m:t>
        </m:r>
        <m:r>
          <m:rPr>
            <m:nor/>
            <m:sty m:val="p"/>
          </m:rPr>
          <m:t>Var</m:t>
        </m:r>
        <m:d>
          <m:dPr>
            <m:begChr m:val="("/>
            <m:endChr m:val=")"/>
            <m:sepChr m:val=""/>
            <m:grow/>
          </m:dPr>
          <m:e>
            <m:r>
              <m:t>Λ</m:t>
            </m:r>
          </m:e>
        </m:d>
        <m:r>
          <m:rPr>
            <m:sty m:val="p"/>
          </m:rPr>
          <m:t>−</m:t>
        </m:r>
        <m:r>
          <m:t>E</m:t>
        </m:r>
        <m:d>
          <m:dPr>
            <m:begChr m:val="["/>
            <m:endChr m:val="]"/>
            <m:sepChr m:val=""/>
            <m:grow/>
          </m:dPr>
          <m:e>
            <m:r>
              <m:rPr>
                <m:nor/>
                <m:sty m:val="p"/>
              </m:rPr>
              <m:t>Var</m:t>
            </m:r>
            <m:d>
              <m:dPr>
                <m:begChr m:val="("/>
                <m:endChr m:val=")"/>
                <m:sepChr m:val=""/>
                <m:grow/>
              </m:dPr>
              <m:e>
                <m:r>
                  <m:t>Λ</m:t>
                </m:r>
                <m:r>
                  <m:rPr>
                    <m:sty m:val="p"/>
                  </m:rPr>
                  <m:t>∣</m:t>
                </m:r>
                <m:r>
                  <m:t>X</m:t>
                </m:r>
              </m:e>
            </m:d>
          </m:e>
        </m:d>
      </m:oMath>
      <w:r>
        <w:t xml:space="preserve">, which yields the last expression.</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it cannot carry any heterogeneity that the persona does not describe (the term</w:t>
      </w:r>
      <w:r>
        <w:t xml:space="preserve"> </w:t>
      </w:r>
      <m:oMath>
        <m:r>
          <m:t>R</m:t>
        </m:r>
      </m:oMath>
      <w:r>
        <w:t xml:space="preserve">). Both losses are present in direct integer answers. Because real customers differ in ways that a short persona cannot capture,</w:t>
      </w:r>
      <w:r>
        <w:t xml:space="preserve"> </w:t>
      </w:r>
      <m:oMath>
        <m:r>
          <m:t>R</m:t>
        </m:r>
      </m:oMath>
      <w:r>
        <w:t xml:space="preserve"> </w:t>
      </w:r>
      <w:r>
        <w:t xml:space="preserve">is rarely small, and collapse toward a single answer is the expected outcome rather than an anomaly.</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r>
          <m:rPr>
            <m:sty m:val="p"/>
          </m:rPr>
          <m:t>=</m:t>
        </m:r>
        <m:sSup>
          <m:e>
            <m:r>
              <m:t>μ</m:t>
            </m:r>
          </m:e>
          <m:sup>
            <m:r>
              <m:t>2</m:t>
            </m:r>
          </m:sup>
        </m:sSup>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and</w:t>
      </w:r>
      <w:r>
        <w:t xml:space="preserve"> </w:t>
      </w:r>
      <m:oMath>
        <m:r>
          <m:t>α</m:t>
        </m:r>
        <m:r>
          <m:rPr>
            <m:sty m:val="p"/>
          </m:rPr>
          <m:t>=</m:t>
        </m:r>
        <m:r>
          <m:t>E</m:t>
        </m:r>
        <m:d>
          <m:dPr>
            <m:begChr m:val="["/>
            <m:endChr m:val="]"/>
            <m:sepChr m:val=""/>
            <m:grow/>
          </m:dPr>
          <m:e>
            <m:sSup>
              <m:e>
                <m:r>
                  <m:t>Λ</m:t>
                </m:r>
              </m:e>
              <m:sup>
                <m:r>
                  <m:t>2</m:t>
                </m:r>
              </m:sup>
            </m:sSup>
          </m:e>
        </m:d>
        <m:r>
          <m:rPr>
            <m:sty m:val="p"/>
          </m:rPr>
          <m:t>/</m:t>
        </m:r>
        <m:sSup>
          <m:e>
            <m:r>
              <m:t>μ</m:t>
            </m:r>
          </m:e>
          <m:sup>
            <m:r>
              <m:t>2</m:t>
            </m:r>
          </m:sup>
        </m:sSup>
        <m:r>
          <m:rPr>
            <m:sty m:val="p"/>
          </m:rPr>
          <m:t>−</m:t>
        </m:r>
        <m:r>
          <m:t>1</m:t>
        </m:r>
      </m:oMath>
      <w:r>
        <w:t xml:space="preserve">.</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then samples a count externally. Because the top bin must be closed to be sampled, this design cannot produce the extreme tail of the real distribution. The variance-to-mean ratio attainable by a perfect description is that of the reference distribution after each bin’s mass is spread uniformly within the bin. For the bins we use, this ceiling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Comparisons for this design are therefore made against the ceiling as well as against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from-propositions-to-system-mechanisms"/>
    <w:p>
      <w:pPr>
        <w:pStyle w:val="Heading2"/>
      </w:pPr>
      <w:r>
        <w:t xml:space="preserve">3.7 From propositions to system mechanisms</w:t>
      </w:r>
    </w:p>
    <w:p>
      <w:pPr>
        <w:pStyle w:val="FirstParagraph"/>
      </w:pPr>
      <w:r>
        <w:t xml:space="preserve">The two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 different component. Proposition 2 is a calibration mechanism. It allocates a variance budget between two sources, the model’s persona-conditioned rates and an external noise generator, so that their combination matches the dispersion observed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has three properties that matter for a system. It is explicit, because the allocation is computed rather than tuned by hand. It is auditable, because the target dispersion comes from a named historical data set. And it is modular, because the model can be replaced without changing the calibration step, although the step must then be recomputed. Proposition 1 and Proposition 2 therefore correspond to a separation of responsibilities between the language model, which supplies the level of a customer’s expected behavior, and the statistical layer, which supplies and calibrates the spread.</w:t>
      </w:r>
    </w:p>
    <w:bookmarkEnd w:id="33"/>
    <w:bookmarkStart w:id="34" w:name="X407dae61d11665e7490932e0ac85ab0ce53a5fe"/>
    <w:p>
      <w:pPr>
        <w:pStyle w:val="Heading2"/>
      </w:pPr>
      <w:r>
        <w:t xml:space="preserve">3.8 Why a familiar statistic becomes a managerial problem</w:t>
      </w:r>
    </w:p>
    <w:p>
      <w:pPr>
        <w:pStyle w:val="FirstParagraph"/>
      </w:pPr>
      <w:r>
        <w:t xml:space="preserve">Propositions 1 and 2 follow from the Poisson–gamma model, and a reader may ask whether they say anything beyond it. The model is not new. What is new is the setting in which its implication becomes a problem for organizations, and we argue that it changes in four ways when behavior is generated by a language model instead of estimated from data.</w:t>
      </w:r>
    </w:p>
    <w:p>
      <w:pPr>
        <w:pStyle w:val="BodyText"/>
      </w:pPr>
      <w:r>
        <w:rPr>
          <w:iCs/>
          <w:i/>
        </w:rPr>
        <w:t xml:space="preserve">From estimated to generated heterogeneity.</w:t>
      </w:r>
      <w:r>
        <w:t xml:space="preserve"> </w:t>
      </w:r>
      <w:r>
        <w:t xml:space="preserve">In the stochastic customer-base models of marketing science, heterogeneity is a latent quantity that the analyst infers from observed behavior, so its magnitude is disciplined by the organization’s own data. In a synthetic-customer system behavior is generated by a pretrained model, and nothing in the generation process ties the spread of the output to the organization’s customers. Proposition 1 shows that this tie cannot be restored through the prompt: a deterministic function of the persona carries only the heterogeneity that the persona describes, and no rewording, persona enrichment, or choice of model changes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The spread is therefore a property of the system’s architecture rather than of its inputs, and it has to be supplied by a component that is connected to data.</w:t>
      </w:r>
    </w:p>
    <w:p>
      <w:pPr>
        <w:pStyle w:val="BodyText"/>
      </w:pPr>
      <w:r>
        <w:rPr>
          <w:iCs/>
          <w:i/>
        </w:rPr>
        <w:t xml:space="preserve">A bound set by the organization’s data assets.</w:t>
      </w:r>
      <w:r>
        <w:t xml:space="preserve"> </w:t>
      </w:r>
      <w:r>
        <w:t xml:space="preserve">Proposition 1 also says where the limit lies. The share of heterogeneity a simulator can carry is the share explained by the persona, and the persona can contain only what the organization knows about its customers. In our demographic experiment that share was about 1%. This is a statement of complementarity between a generative model and the firm’s data assets, a theme familiar from research on IT business value (Melville et al. 2004), with a sharp form: more capable models cannot compensate for uninformative customer data, and the value of a synthetic-customer system is bounded by the explanatory power of first-party data. A common managerial assumption is the opposite, namely that a more capable model will substitute for the missing data.</w:t>
      </w:r>
    </w:p>
    <w:p>
      <w:pPr>
        <w:pStyle w:val="BodyText"/>
      </w:pPr>
      <w:r>
        <w:rPr>
          <w:iCs/>
          <w:i/>
        </w:rPr>
        <w:t xml:space="preserve">The validation paradox.</w:t>
      </w:r>
      <w:r>
        <w:t xml:space="preserve"> </w:t>
      </w:r>
      <w:r>
        <w:t xml:space="preserve">Synthetic customers are adopted where real data are scarce or costly. Yet the quantity that Proposition 1 shows to be lost, the unexplained part</w:t>
      </w:r>
      <w:r>
        <w:t xml:space="preserve"> </w:t>
      </w:r>
      <m:oMath>
        <m:r>
          <m:t>R</m:t>
        </m:r>
      </m:oMath>
      <w:r>
        <w:t xml:space="preserve"> </w:t>
      </w:r>
      <w:r>
        <w:t xml:space="preserve">of the heterogeneity, is invisible inside the system and can be detected only against real data on the same distributional properties. The evidence that would reveal the error is the evidence the system was meant to economize. This is a validation paradox. It is resolved only by partial validation, in which a small amount of real data, such as a historical customer file and a few past randomized tests, is used to calibrate and audit a large amount of synthetic data. Proposition 2 provides the calibration step for such an arrangement.</w:t>
      </w:r>
    </w:p>
    <w:p>
      <w:pPr>
        <w:pStyle w:val="BodyText"/>
      </w:pPr>
      <w:r>
        <w:rPr>
          <w:iCs/>
          <w:i/>
        </w:rPr>
        <w:t xml:space="preserve">Silent failure and shifting components.</w:t>
      </w:r>
      <w:r>
        <w:t xml:space="preserve"> </w:t>
      </w:r>
      <w:r>
        <w:t xml:space="preserve">Output that is fluent and has the right sign gives the user no signal of failure. A compressed spread does not show up in a mean or in a headline result, and a decision that is wrong because of it, such as a launch that does not pay, becomes visible only after several campaign cycles, if at all. In addition the component that generates the behavior is outside the organization’s control. Model versions and providers change, and in our runs eight models produced very different levels and spreads for the same prompt. Whereas a statistical model that the organization owns is calibrated once, a model that the organization rents has to be re-validated whenever it changes, which makes validation a continuing governance task.</w:t>
      </w:r>
    </w:p>
    <w:p>
      <w:pPr>
        <w:pStyle w:val="BodyText"/>
      </w:pPr>
      <w:r>
        <w:t xml:space="preserve">The consequence of a lost spread is not limited to a statistical summary. It affects decisions that depend on concentration, as the following result shows.</w:t>
      </w:r>
    </w:p>
    <w:p>
      <w:pPr>
        <w:pStyle w:val="BodyText"/>
      </w:pPr>
      <w:r>
        <w:rPr>
          <w:bCs/>
          <w:b/>
        </w:rPr>
        <w:t xml:space="preserve">Proposition 3 (concentration).</w:t>
      </w:r>
      <w:r>
        <w:t xml:space="preserve"> </w:t>
      </w:r>
      <w:r>
        <w:t xml:space="preserve">Let customer rates be gamma distributed with mean</w:t>
      </w:r>
      <w:r>
        <w:t xml:space="preserve"> </w:t>
      </w:r>
      <m:oMath>
        <m:r>
          <m:t>μ</m:t>
        </m:r>
      </m:oMath>
      <w:r>
        <w:t xml:space="preserve"> </w:t>
      </w:r>
      <w:r>
        <w:t xml:space="preserve">and squared coefficient of variation</w:t>
      </w:r>
      <w:r>
        <w:t xml:space="preserve"> </w:t>
      </w:r>
      <m:oMath>
        <m:r>
          <m:t>α</m:t>
        </m:r>
      </m:oMath>
      <w:r>
        <w:t xml:space="preserve">, and let</w:t>
      </w:r>
      <w:r>
        <w:t xml:space="preserve"> </w:t>
      </w:r>
      <m:oMath>
        <m:sSub>
          <m:e>
            <m:r>
              <m:t>S</m:t>
            </m:r>
          </m:e>
          <m:sub>
            <m:r>
              <m:t>q</m:t>
            </m:r>
          </m:sub>
        </m:sSub>
        <m:d>
          <m:dPr>
            <m:begChr m:val="("/>
            <m:endChr m:val=")"/>
            <m:sepChr m:val=""/>
            <m:grow/>
          </m:dPr>
          <m:e>
            <m:r>
              <m:t>α</m:t>
            </m:r>
          </m:e>
        </m:d>
      </m:oMath>
      <w:r>
        <w:t xml:space="preserve"> </w:t>
      </w:r>
      <w:r>
        <w:t xml:space="preserve">denote the share of all expected purchases made by the fraction</w:t>
      </w:r>
      <w:r>
        <w:t xml:space="preserve"> </w:t>
      </w:r>
      <m:oMath>
        <m:r>
          <m:t>q</m:t>
        </m:r>
      </m:oMath>
      <w:r>
        <w:t xml:space="preserve"> </w:t>
      </w:r>
      <w:r>
        <w:t xml:space="preserve">of customers with the highest rates. With shape</w:t>
      </w:r>
      <w:r>
        <w:t xml:space="preserve"> </w:t>
      </w:r>
      <m:oMath>
        <m:r>
          <m:t>k</m:t>
        </m:r>
        <m:r>
          <m:rPr>
            <m:sty m:val="p"/>
          </m:rPr>
          <m:t>=</m:t>
        </m:r>
        <m:r>
          <m:t>1</m:t>
        </m:r>
        <m:r>
          <m:rPr>
            <m:sty m:val="p"/>
          </m:rPr>
          <m:t>/</m:t>
        </m:r>
        <m:r>
          <m:t>α</m:t>
        </m:r>
      </m:oMath>
      <w:r>
        <w:t xml:space="preserve">,</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gamma distribution function with shape</w:t>
      </w:r>
      <w:r>
        <w:t xml:space="preserve"> </w:t>
      </w:r>
      <m:oMath>
        <m:r>
          <m:t>k</m:t>
        </m:r>
      </m:oMath>
      <w:r>
        <w:t xml:space="preserve"> </w:t>
      </w:r>
      <w:r>
        <w:t xml:space="preserve">and unit scale.</w:t>
      </w:r>
      <w:r>
        <w:t xml:space="preserve"> </w:t>
      </w:r>
      <m:oMath>
        <m:sSub>
          <m:e>
            <m:r>
              <m:t>S</m:t>
            </m:r>
          </m:e>
          <m:sub>
            <m:r>
              <m:t>q</m:t>
            </m:r>
          </m:sub>
        </m:sSub>
      </m:oMath>
      <w:r>
        <w:t xml:space="preserve"> </w:t>
      </w:r>
      <w:r>
        <w:t xml:space="preserve">increases in</w:t>
      </w:r>
      <w:r>
        <w:t xml:space="preserve"> </w:t>
      </w:r>
      <m:oMath>
        <m:r>
          <m:t>α</m:t>
        </m:r>
      </m:oMath>
      <w:r>
        <w:t xml:space="preserve"> </w:t>
      </w:r>
      <w:r>
        <w:t xml:space="preserve">and tends to</w:t>
      </w:r>
      <w:r>
        <w:t xml:space="preserve"> </w:t>
      </w:r>
      <m:oMath>
        <m:r>
          <m:t>q</m:t>
        </m:r>
      </m:oMath>
      <w:r>
        <w:t xml:space="preserve"> </w:t>
      </w:r>
      <w:r>
        <w:t xml:space="preserve">as</w:t>
      </w:r>
      <w:r>
        <w:t xml:space="preserve"> </w:t>
      </w:r>
      <m:oMath>
        <m:r>
          <m:t>α</m:t>
        </m:r>
        <m:r>
          <m:rPr>
            <m:sty m:val="p"/>
          </m:rPr>
          <m:t>→</m:t>
        </m:r>
        <m:r>
          <m:t>0</m:t>
        </m:r>
      </m:oMath>
      <w:r>
        <w:t xml:space="preserve">. A deterministic persona-conditioned simulator has</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&lt;</m:t>
        </m:r>
        <m:sSup>
          <m:e>
            <m:r>
              <m:t>c</m:t>
            </m:r>
          </m:e>
          <m:sup>
            <m:r>
              <m:t>2</m:t>
            </m:r>
          </m:sup>
        </m:sSup>
      </m:oMath>
      <w:r>
        <w:t xml:space="preserve"> </w:t>
      </w:r>
      <w:r>
        <w:t xml:space="preserve">(Proposition 1), so the concentration it can represent is at most</w:t>
      </w:r>
      <w:r>
        <w:t xml:space="preserve"> </w:t>
      </w:r>
      <m:oMath>
        <m:sSub>
          <m:e>
            <m:r>
              <m:t>S</m:t>
            </m:r>
          </m:e>
          <m:sub>
            <m:r>
              <m:t>q</m:t>
            </m:r>
          </m:sub>
        </m:sSub>
        <m:d>
          <m:dPr>
            <m:begChr m:val="("/>
            <m:endChr m:val=")"/>
            <m:sepChr m:val=""/>
            <m:grow/>
          </m:dPr>
          <m:e>
            <m:sSup>
              <m:e>
                <m:r>
                  <m:t>c</m:t>
                </m:r>
              </m:e>
              <m:sup>
                <m:r>
                  <m:t>2</m:t>
                </m:r>
              </m:sup>
            </m:sSup>
          </m:e>
        </m:d>
      </m:oMath>
      <w:r>
        <w:t xml:space="preserve">.</w:t>
      </w:r>
    </w:p>
    <w:p>
      <w:pPr>
        <w:pStyle w:val="BodyText"/>
      </w:pPr>
      <w:r>
        <w:rPr>
          <w:iCs/>
          <w:i/>
        </w:rPr>
        <w:t xml:space="preserve">Proof.</w:t>
      </w:r>
      <w:r>
        <w:t xml:space="preserve"> </w:t>
      </w:r>
      <w:r>
        <w:t xml:space="preserve">The expected purchases contributed by customers with rate above</w:t>
      </w:r>
      <w:r>
        <w:t xml:space="preserve"> </w:t>
      </w:r>
      <m:oMath>
        <m:r>
          <m:t>x</m:t>
        </m:r>
      </m:oMath>
      <w:r>
        <w:t xml:space="preserve"> </w:t>
      </w:r>
      <w:r>
        <w:t xml:space="preserve">are proportional to</w:t>
      </w:r>
      <w:r>
        <w:t xml:space="preserve"> </w:t>
      </w:r>
      <m:oMath>
        <m:nary>
          <m:naryPr>
            <m:chr m:val="∫"/>
            <m:limLoc m:val="subSup"/>
            <m:subHide m:val="off"/>
            <m:supHide m:val="off"/>
          </m:naryPr>
          <m:sub>
            <m:r>
              <m:t>x</m:t>
            </m:r>
          </m:sub>
          <m:sup>
            <m:r>
              <m:rPr>
                <m:sty m:val="p"/>
              </m:rPr>
              <m:t>∞</m:t>
            </m:r>
          </m:sup>
          <m:e>
            <m:r>
              <m:t>λ</m:t>
            </m:r>
          </m:e>
        </m:nary>
        <m:r>
          <m:t> </m:t>
        </m:r>
        <m:sSub>
          <m:e>
            <m:r>
              <m:t>f</m:t>
            </m:r>
          </m:e>
          <m:sub>
            <m:r>
              <m:t>k</m:t>
            </m:r>
          </m:sub>
        </m:sSub>
        <m:d>
          <m:dPr>
            <m:begChr m:val="("/>
            <m:endChr m:val=")"/>
            <m:sepChr m:val=""/>
            <m:grow/>
          </m:dPr>
          <m:e>
            <m:r>
              <m:t>λ</m:t>
            </m:r>
          </m:e>
        </m:d>
        <m:r>
          <m:t> </m:t>
        </m:r>
        <m:r>
          <m:t>d</m:t>
        </m:r>
        <m:r>
          <m:t>λ</m:t>
        </m:r>
      </m:oMath>
      <w:r>
        <w:t xml:space="preserve">, and</w:t>
      </w:r>
      <w:r>
        <w:t xml:space="preserve"> </w:t>
      </w:r>
      <m:oMath>
        <m:r>
          <m:t>λ</m:t>
        </m:r>
        <m:sSub>
          <m:e>
            <m:r>
              <m:t>f</m:t>
            </m:r>
          </m:e>
          <m:sub>
            <m:r>
              <m:t>k</m:t>
            </m:r>
          </m:sub>
        </m:sSub>
        <m:d>
          <m:dPr>
            <m:begChr m:val="("/>
            <m:endChr m:val=")"/>
            <m:sepChr m:val=""/>
            <m:grow/>
          </m:dPr>
          <m:e>
            <m:r>
              <m:t>λ</m:t>
            </m:r>
          </m:e>
        </m:d>
      </m:oMath>
      <w:r>
        <w:t xml:space="preserve"> </w:t>
      </w:r>
      <w:r>
        <w:t xml:space="preserve">is proportional to the gamma density with shape</w:t>
      </w:r>
      <w:r>
        <w:t xml:space="preserve"> </w:t>
      </w:r>
      <m:oMath>
        <m:r>
          <m:t>k</m:t>
        </m:r>
        <m:r>
          <m:rPr>
            <m:sty m:val="p"/>
          </m:rPr>
          <m:t>+</m:t>
        </m:r>
        <m:r>
          <m:t>1</m:t>
        </m:r>
      </m:oMath>
      <w:r>
        <w:t xml:space="preserve">, which gives the stated form. Monotonicity in</w:t>
      </w:r>
      <w:r>
        <w:t xml:space="preserve"> </w:t>
      </w:r>
      <m:oMath>
        <m:r>
          <m:t>α</m:t>
        </m:r>
      </m:oMath>
      <w:r>
        <w:t xml:space="preserve"> </w:t>
      </w:r>
      <w:r>
        <w:t xml:space="preserve">follows because a gamma distribution with a smaller shape is larger in the convex (Lorenz) order, and the limit follows from the degeneracy of the rate distribution as</w:t>
      </w:r>
      <w:r>
        <w:t xml:space="preserve"> </w:t>
      </w:r>
      <m:oMath>
        <m:r>
          <m:t>k</m:t>
        </m:r>
        <m:r>
          <m:rPr>
            <m:sty m:val="p"/>
          </m:rPr>
          <m:t>→</m:t>
        </m:r>
        <m:r>
          <m:rPr>
            <m:sty m:val="p"/>
          </m:rPr>
          <m:t>∞</m:t>
        </m:r>
      </m:oMath>
      <w:r>
        <w:t xml:space="preserve">. The last statement applies Proposition 1.</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the top tenth of customers account for 52% of expected purchases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A simulator that carries only the persona-described heterogeneity of the demographic experiment (</w:t>
      </w:r>
      <m:oMath>
        <m:sSup>
          <m:e>
            <m:r>
              <m:t>c</m:t>
            </m:r>
          </m:e>
          <m:sup>
            <m:r>
              <m:t>2</m:t>
            </m:r>
          </m:sup>
        </m:sSup>
        <m:r>
          <m:rPr>
            <m:sty m:val="p"/>
          </m:rPr>
          <m:t>=</m:t>
        </m:r>
        <m:r>
          <m:t>0.006</m:t>
        </m:r>
      </m:oMath>
      <w:r>
        <w:t xml:space="preserve">) represents a share of 11%. Decisions that depend on concentration, such as how deeply to target a promotion, how to set loyalty tiers, or how to size a budget ceiling for heavy buyers, are therefore biased in a known direction when the spread is lost. The direction of the bias, not only its size, is predictable,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public file gave a similar profile (mean 0.43 to 0.51, zero share 0.66 to 0.72, and</w:t>
      </w:r>
      <w:r>
        <w:t xml:space="preserve"> </w:t>
      </w:r>
      <m:oMath>
        <m:r>
          <m:t>α</m:t>
        </m:r>
      </m:oMath>
      <w:r>
        <w:t xml:space="preserve"> </w:t>
      </w:r>
      <w:r>
        <w:t xml:space="preserve">between 2.2 and 4.2 across seven consecutive windows, for a cohort of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Negative binomial was the best-fitting model by AIC in every window, and the Poisson model was rejected in all of them.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which were added to test whether larger and more recent models behave differently. All eight models were run on three random seeds, that is, on three independent samples of customers (or household-windows) with new model calls, in the three transaction settings; in the email experiment the first three models were run on three seeds and the five newer models on one. In the low-mean setting GPT-4o-mini and Llama were run at temperatures 0.3, 0.7, and 1.0 in the first seed and at 0.7 in the two further seeds, giving 1,000 customers per cell; the other six models contribute 600 (three seeds of 200). In the two high-mean settings the temperature was fixed at 0.7, with 600 customers or household-windows per cell. In the email experiment each seed uses 300 customers (900 for the three models run on three seeds). Three models (Haiku 5.5, Sonnet 5, and GPT-5.6-terra) do not accept a temperature setting and contribute one run per prompt variant and seed. For every model that allows it, hidden reasoning was switched off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returned unusable answers for about 10% of the daily-simulation prompts in the high-mean setting, and those cells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5"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Table 2 summarizes the low-mean and the high-mean setting by design, and Appendix B gives all cells.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Setting</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 to 2.10</w:t>
            </w:r>
          </w:p>
        </w:tc>
        <w:tc>
          <w:tcPr/>
          <w:p>
            <w:pPr>
              <w:pStyle w:val="Compact"/>
              <w:spacing w:before="20" w:after="20" w:line="240" w:lineRule="auto"/>
              <w:ind w:firstLine="0"/>
              <w:jc w:val="left"/>
            </w:pPr>
            <w:r>
              <w:rPr>
                <w:rFonts w:ascii="Times New Roman" w:hAnsi="Times New Roman"/>
                <w:sz w:val="17"/>
              </w:rPr>
              <w:t xml:space="preserve">0.00 to 14.72</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-1.00 to 6.54</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 to 13.56</w:t>
            </w:r>
          </w:p>
        </w:tc>
        <w:tc>
          <w:tcPr/>
          <w:p>
            <w:pPr>
              <w:pStyle w:val="Compact"/>
              <w:spacing w:before="20" w:after="20" w:line="240" w:lineRule="auto"/>
              <w:ind w:firstLine="0"/>
              <w:jc w:val="left"/>
            </w:pPr>
            <w:r>
              <w:rPr>
                <w:rFonts w:ascii="Times New Roman" w:hAnsi="Times New Roman"/>
                <w:sz w:val="17"/>
              </w:rPr>
              <w:t xml:space="preserve">0.24 to 2.95</w:t>
            </w:r>
          </w:p>
        </w:tc>
        <w:tc>
          <w:tcPr/>
          <w:p>
            <w:pPr>
              <w:pStyle w:val="Compact"/>
              <w:spacing w:before="20" w:after="20" w:line="240" w:lineRule="auto"/>
              <w:ind w:firstLine="0"/>
              <w:jc w:val="left"/>
            </w:pPr>
            <w:r>
              <w:rPr>
                <w:rFonts w:ascii="Times New Roman" w:hAnsi="Times New Roman"/>
                <w:sz w:val="17"/>
              </w:rPr>
              <w:t xml:space="preserve">0.00 to 1.00</w:t>
            </w:r>
          </w:p>
        </w:tc>
        <w:tc>
          <w:tcPr/>
          <w:p>
            <w:pPr>
              <w:pStyle w:val="Compact"/>
              <w:spacing w:before="20" w:after="20" w:line="240" w:lineRule="auto"/>
              <w:ind w:firstLine="0"/>
              <w:jc w:val="left"/>
            </w:pPr>
            <w:r>
              <w:rPr>
                <w:rFonts w:ascii="Times New Roman" w:hAnsi="Times New Roman"/>
                <w:sz w:val="17"/>
              </w:rPr>
              <w:t xml:space="preserve">-0.86 to 0.62</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 to 1.30</w:t>
            </w:r>
          </w:p>
        </w:tc>
        <w:tc>
          <w:tcPr/>
          <w:p>
            <w:pPr>
              <w:pStyle w:val="Compact"/>
              <w:spacing w:before="20" w:after="20" w:line="240" w:lineRule="auto"/>
              <w:ind w:firstLine="0"/>
              <w:jc w:val="left"/>
            </w:pPr>
            <w:r>
              <w:rPr>
                <w:rFonts w:ascii="Times New Roman" w:hAnsi="Times New Roman"/>
                <w:sz w:val="17"/>
              </w:rPr>
              <w:t xml:space="preserve">0.97 to 1.61</w:t>
            </w:r>
          </w:p>
        </w:tc>
        <w:tc>
          <w:tcPr/>
          <w:p>
            <w:pPr>
              <w:pStyle w:val="Compact"/>
              <w:spacing w:before="20" w:after="20" w:line="240" w:lineRule="auto"/>
              <w:ind w:firstLine="0"/>
              <w:jc w:val="left"/>
            </w:pPr>
            <w:r>
              <w:rPr>
                <w:rFonts w:ascii="Times New Roman" w:hAnsi="Times New Roman"/>
                <w:sz w:val="17"/>
              </w:rPr>
              <w:t xml:space="preserve">0.32 to 0.71</w:t>
            </w:r>
          </w:p>
        </w:tc>
        <w:tc>
          <w:tcPr/>
          <w:p>
            <w:pPr>
              <w:pStyle w:val="Compact"/>
              <w:spacing w:before="20" w:after="20" w:line="240" w:lineRule="auto"/>
              <w:ind w:firstLine="0"/>
              <w:jc w:val="left"/>
            </w:pPr>
            <w:r>
              <w:rPr>
                <w:rFonts w:ascii="Times New Roman" w:hAnsi="Times New Roman"/>
                <w:sz w:val="17"/>
              </w:rPr>
              <w:t xml:space="preserve">-0.06 to 0.80</w:t>
            </w:r>
          </w:p>
        </w:tc>
      </w:tr>
      <w:tr>
        <w:tc>
          <w:tcPr/>
          <w:p>
            <w:pPr>
              <w:pStyle w:val="Compact"/>
              <w:spacing w:before="20" w:after="20" w:line="240" w:lineRule="auto"/>
              <w:ind w:firstLine="0"/>
              <w:jc w:val="left"/>
            </w:pPr>
            <w:r>
              <w:rPr>
                <w:rFonts w:ascii="Times New Roman" w:hAnsi="Times New Roman"/>
                <w:sz w:val="17"/>
              </w:rPr>
              <w:t xml:space="preserve">Low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 to 0.93</w:t>
            </w:r>
          </w:p>
        </w:tc>
        <w:tc>
          <w:tcPr/>
          <w:p>
            <w:pPr>
              <w:pStyle w:val="Compact"/>
              <w:spacing w:before="20" w:after="20" w:line="240" w:lineRule="auto"/>
              <w:ind w:firstLine="0"/>
              <w:jc w:val="left"/>
            </w:pPr>
            <w:r>
              <w:rPr>
                <w:rFonts w:ascii="Times New Roman" w:hAnsi="Times New Roman"/>
                <w:sz w:val="17"/>
              </w:rPr>
              <w:t xml:space="preserve">1.47 to 3.38</w:t>
            </w:r>
          </w:p>
        </w:tc>
        <w:tc>
          <w:tcPr/>
          <w:p>
            <w:pPr>
              <w:pStyle w:val="Compact"/>
              <w:spacing w:before="20" w:after="20" w:line="240" w:lineRule="auto"/>
              <w:ind w:firstLine="0"/>
              <w:jc w:val="left"/>
            </w:pPr>
            <w:r>
              <w:rPr>
                <w:rFonts w:ascii="Times New Roman" w:hAnsi="Times New Roman"/>
                <w:sz w:val="17"/>
              </w:rPr>
              <w:t xml:space="preserve">0.63 to 0.81</w:t>
            </w:r>
          </w:p>
        </w:tc>
        <w:tc>
          <w:tcPr/>
          <w:p>
            <w:pPr>
              <w:pStyle w:val="Compact"/>
              <w:spacing w:before="20" w:after="20" w:line="240" w:lineRule="auto"/>
              <w:ind w:firstLine="0"/>
              <w:jc w:val="left"/>
            </w:pPr>
            <w:r>
              <w:rPr>
                <w:rFonts w:ascii="Times New Roman" w:hAnsi="Times New Roman"/>
                <w:sz w:val="17"/>
              </w:rPr>
              <w:t xml:space="preserve">1.81 to 3.77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 to 11.74</w:t>
            </w:r>
          </w:p>
        </w:tc>
        <w:tc>
          <w:tcPr/>
          <w:p>
            <w:pPr>
              <w:pStyle w:val="Compact"/>
              <w:spacing w:before="20" w:after="20" w:line="240" w:lineRule="auto"/>
              <w:ind w:firstLine="0"/>
              <w:jc w:val="left"/>
            </w:pPr>
            <w:r>
              <w:rPr>
                <w:rFonts w:ascii="Times New Roman" w:hAnsi="Times New Roman"/>
                <w:sz w:val="17"/>
              </w:rPr>
              <w:t xml:space="preserve">0.00 to 2.45</w:t>
            </w:r>
          </w:p>
        </w:tc>
        <w:tc>
          <w:tcPr/>
          <w:p>
            <w:pPr>
              <w:pStyle w:val="Compact"/>
              <w:spacing w:before="20" w:after="20" w:line="240" w:lineRule="auto"/>
              <w:ind w:firstLine="0"/>
              <w:jc w:val="left"/>
            </w:pPr>
            <w:r>
              <w:rPr>
                <w:rFonts w:ascii="Times New Roman" w:hAnsi="Times New Roman"/>
                <w:sz w:val="17"/>
              </w:rPr>
              <w:t xml:space="preserve">0.00 to 0.02</w:t>
            </w:r>
          </w:p>
        </w:tc>
        <w:tc>
          <w:tcPr/>
          <w:p>
            <w:pPr>
              <w:pStyle w:val="Compact"/>
              <w:spacing w:before="20" w:after="20" w:line="240" w:lineRule="auto"/>
              <w:ind w:firstLine="0"/>
              <w:jc w:val="left"/>
            </w:pPr>
            <w:r>
              <w:rPr>
                <w:rFonts w:ascii="Times New Roman" w:hAnsi="Times New Roman"/>
                <w:sz w:val="17"/>
              </w:rPr>
              <w:t xml:space="preserve">-0.20 to 0.17</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 to 16.65</w:t>
            </w:r>
          </w:p>
        </w:tc>
        <w:tc>
          <w:tcPr/>
          <w:p>
            <w:pPr>
              <w:pStyle w:val="Compact"/>
              <w:spacing w:before="20" w:after="20" w:line="240" w:lineRule="auto"/>
              <w:ind w:firstLine="0"/>
              <w:jc w:val="left"/>
            </w:pPr>
            <w:r>
              <w:rPr>
                <w:rFonts w:ascii="Times New Roman" w:hAnsi="Times New Roman"/>
                <w:sz w:val="17"/>
              </w:rPr>
              <w:t xml:space="preserve">0.04 to 0.38</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-0.20 to -0.06</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 to 7.95</w:t>
            </w:r>
          </w:p>
        </w:tc>
        <w:tc>
          <w:tcPr/>
          <w:p>
            <w:pPr>
              <w:pStyle w:val="Compact"/>
              <w:spacing w:before="20" w:after="20" w:line="240" w:lineRule="auto"/>
              <w:ind w:firstLine="0"/>
              <w:jc w:val="left"/>
            </w:pPr>
            <w:r>
              <w:rPr>
                <w:rFonts w:ascii="Times New Roman" w:hAnsi="Times New Roman"/>
                <w:sz w:val="17"/>
              </w:rPr>
              <w:t xml:space="preserve">3.65 to 6.44</w:t>
            </w:r>
          </w:p>
        </w:tc>
        <w:tc>
          <w:tcPr/>
          <w:p>
            <w:pPr>
              <w:pStyle w:val="Compact"/>
              <w:spacing w:before="20" w:after="20" w:line="240" w:lineRule="auto"/>
              <w:ind w:firstLine="0"/>
              <w:jc w:val="left"/>
            </w:pPr>
            <w:r>
              <w:rPr>
                <w:rFonts w:ascii="Times New Roman" w:hAnsi="Times New Roman"/>
                <w:sz w:val="17"/>
              </w:rPr>
              <w:t xml:space="preserve">0.01 to 0.15</w:t>
            </w:r>
          </w:p>
        </w:tc>
        <w:tc>
          <w:tcPr/>
          <w:p>
            <w:pPr>
              <w:pStyle w:val="Compact"/>
              <w:spacing w:before="20" w:after="20" w:line="240" w:lineRule="auto"/>
              <w:ind w:firstLine="0"/>
              <w:jc w:val="left"/>
            </w:pPr>
            <w:r>
              <w:rPr>
                <w:rFonts w:ascii="Times New Roman" w:hAnsi="Times New Roman"/>
                <w:sz w:val="17"/>
              </w:rPr>
              <w:t xml:space="preserve">0.41 to 1.00</w:t>
            </w:r>
          </w:p>
        </w:tc>
      </w:tr>
      <w:tr>
        <w:tc>
          <w:tcPr/>
          <w:p>
            <w:pPr>
              <w:pStyle w:val="Compact"/>
              <w:spacing w:before="20" w:after="20" w:line="240" w:lineRule="auto"/>
              <w:ind w:firstLine="0"/>
              <w:jc w:val="left"/>
            </w:pPr>
            <w:r>
              <w:rPr>
                <w:rFonts w:ascii="Times New Roman" w:hAnsi="Times New Roman"/>
                <w:sz w:val="17"/>
              </w:rPr>
              <w:t xml:space="preserve">High mean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 to 8.69</w:t>
            </w:r>
          </w:p>
        </w:tc>
        <w:tc>
          <w:tcPr/>
          <w:p>
            <w:pPr>
              <w:pStyle w:val="Compact"/>
              <w:spacing w:before="20" w:after="20" w:line="240" w:lineRule="auto"/>
              <w:ind w:firstLine="0"/>
              <w:jc w:val="left"/>
            </w:pPr>
            <w:r>
              <w:rPr>
                <w:rFonts w:ascii="Times New Roman" w:hAnsi="Times New Roman"/>
                <w:sz w:val="17"/>
              </w:rPr>
              <w:t xml:space="preserve">5.84 to 12.15</w:t>
            </w:r>
          </w:p>
        </w:tc>
        <w:tc>
          <w:tcPr/>
          <w:p>
            <w:pPr>
              <w:pStyle w:val="Compact"/>
              <w:spacing w:before="20" w:after="20" w:line="240" w:lineRule="auto"/>
              <w:ind w:firstLine="0"/>
              <w:jc w:val="left"/>
            </w:pPr>
            <w:r>
              <w:rPr>
                <w:rFonts w:ascii="Times New Roman" w:hAnsi="Times New Roman"/>
                <w:sz w:val="17"/>
              </w:rPr>
              <w:t xml:space="preserve">0.13 to 0.27</w:t>
            </w:r>
          </w:p>
        </w:tc>
        <w:tc>
          <w:tcPr/>
          <w:p>
            <w:pPr>
              <w:pStyle w:val="Compact"/>
              <w:spacing w:before="20" w:after="20" w:line="240" w:lineRule="auto"/>
              <w:ind w:firstLine="0"/>
              <w:jc w:val="left"/>
            </w:pPr>
            <w:r>
              <w:rPr>
                <w:rFonts w:ascii="Times New Roman" w:hAnsi="Times New Roman"/>
                <w:sz w:val="17"/>
              </w:rPr>
              <w:t xml:space="preserve">1.03 to 1.52</w:t>
            </w:r>
          </w:p>
        </w:tc>
      </w:tr>
    </w:tbl>
    <w:p>
      <w:pPr>
        <w:pStyle w:val="BodyText"/>
        <w:spacing w:line="240" w:lineRule="auto"/>
        <w:ind w:firstLine="0"/>
      </w:pPr>
      <w:r>
        <w:rPr>
          <w:iCs/>
          <w:i/>
        </w:rPr>
        <w:t xml:space="preserve">Table 2. Range of results across the model-and-prompt cells of each design (sixteen cells in each setting). Reference rows are the real values. For design A in the low-mean setting the variance-to-mean ratio of 1.00 comes from a cell in which practically every simulated customer answered</w:t>
      </w:r>
      <w:r>
        <w:rPr>
          <w:iCs/>
          <w:i/>
        </w:rPr>
        <w:t xml:space="preserve"> </w:t>
      </w:r>
      <w:r>
        <w:rPr>
          <w:iCs/>
          <w:i/>
        </w:rPr>
        <w:t xml:space="preserve">“</w:t>
      </w:r>
      <w:r>
        <w:rPr>
          <w:iCs/>
          <w:i/>
        </w:rPr>
        <w:t xml:space="preserve">0</w:t>
      </w:r>
      <w:r>
        <w:rPr>
          <w:iCs/>
          <w:i/>
        </w:rPr>
        <w:t xml:space="preserve">”</w:t>
      </w:r>
      <w:r>
        <w:rPr>
          <w:iCs/>
          <w:i/>
        </w:rPr>
        <w:t xml:space="preserve"> </w:t>
      </w:r>
      <w:r>
        <w:rPr>
          <w:iCs/>
          <w:i/>
        </w:rPr>
        <w:t xml:space="preserve">and is uninformative.</w:t>
      </w:r>
    </w:p>
    <w:p>
      <w:pPr>
        <w:pStyle w:val="CaptionedFigure"/>
      </w:pPr>
      <w:r>
        <w:drawing>
          <wp:inline>
            <wp:extent cx="5334000" cy="602973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334000" cy="602973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(Table B1, Figure 1a). Two cells go the other way. DeepSeek-V4-Pro without the anchor gives direct answers with a ratio of 14.7 (interval 5.6 to 22.3), because a few customers receive very large counts alongside many zeros (mean 2.10, zero share 0.52), and its seeds range from 9.0 to 18.4; and Sonnet 5 without the anchor gives daily simulations with a ratio of 2.95 (2.73 to 3.17). Elsewhere direct answers are the most compressed, with ratios of at most 0.87 in 11 of 16 cells; in three further cells nearly every answer was</w:t>
      </w:r>
      <w:r>
        <w:t xml:space="preserve"> </w:t>
      </w:r>
      <w:r>
        <w:t xml:space="preserve">“</w:t>
      </w:r>
      <w:r>
        <w:t xml:space="preserve">0</w:t>
      </w:r>
      <w:r>
        <w:t xml:space="preserve">”</w:t>
      </w:r>
      <w:r>
        <w:t xml:space="preserve"> </w:t>
      </w:r>
      <w:r>
        <w:t xml:space="preserve">(Llama, Sonnet 5, and Mistral Large 4 with the anchor), which gives a ratio near one and no information, and one cell (DeepSeek-V4-Pro with the anchor) has a ratio close to the Poisson value of one (0.95, interval 0.76 to 1.15). With the anchor, five cells in all (those three, and Sonnet 5 and GPT-5.6-terra for daily simulation)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and stays close to Poisson or below it in most. Describing a distribution reaches ratios of 0.97 to 1.61, below its own ceiling of 2.10 in all 16 cells, and its zero share is too low (0.32 to 0.71, against 0.74) in every cell.</w:t>
      </w:r>
    </w:p>
    <w:p>
      <w:pPr>
        <w:pStyle w:val="BodyText"/>
      </w:pPr>
      <w:r>
        <w:t xml:space="preserve">The hybrid matches the reference ratio in 10 of 16 cells, the mean in 6, the zero share in 10, and</w:t>
      </w:r>
      <w:r>
        <w:t xml:space="preserve"> </w:t>
      </w:r>
      <m:oMath>
        <m:r>
          <m:t>α</m:t>
        </m:r>
      </m:oMath>
      <w:r>
        <w:t xml:space="preserve"> </w:t>
      </w:r>
      <w:r>
        <w:t xml:space="preserve">in 13; all four in 5 cells (Sonnet 5, DeepSeek-V4-Pro, and GPT-5.6-terra without the anchor, and Mistral Large 4 and GPT-5.6-terra with it). Its variance-to-mean ratio misses mainly when the model’s mean is low, because the ratio equals</w:t>
      </w:r>
      <w:r>
        <w:t xml:space="preserve"> </w:t>
      </w:r>
      <m:oMath>
        <m:r>
          <m:t>1</m:t>
        </m:r>
        <m:r>
          <m:rPr>
            <m:sty m:val="p"/>
          </m:rPr>
          <m:t>+</m:t>
        </m:r>
        <m:r>
          <m:t>α</m:t>
        </m:r>
        <m:r>
          <m:t>μ</m:t>
        </m:r>
      </m:oMath>
      <w:r>
        <w:t xml:space="preserve"> </w:t>
      </w:r>
      <w:r>
        <w:t xml:space="preserve">and so inherits the error of the mean even when</w:t>
      </w:r>
      <w:r>
        <w:t xml:space="preserve"> </w:t>
      </w:r>
      <m:oMath>
        <m:r>
          <m:t>α</m:t>
        </m:r>
      </m:oMath>
      <w:r>
        <w:t xml:space="preserve"> </w:t>
      </w:r>
      <w:r>
        <w:t xml:space="preserve">is right.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(Table B2, Figure 1b). In 13 of 16 cells the variance-to-mean ratio of design A lies between 0.00 and 0.36, against a reference of 7.85. Three cells have more spread: DeepSeek-V4-Pro (1.10 without the anchor and 1.57 with it, both with wide intervals) and Mistral Large 4 without the anchor (2.45, interval 1.98 to 2.98,</w:t>
      </w:r>
      <w:r>
        <w:t xml:space="preserve"> </w:t>
      </w:r>
      <m:oMath>
        <m:r>
          <m:t>α</m:t>
        </m:r>
        <m:r>
          <m:rPr>
            <m:sty m:val="p"/>
          </m:rPr>
          <m:t>=</m:t>
        </m:r>
        <m:r>
          <m:rPr>
            <m:sty m:val="p"/>
          </m:rPr>
          <m:t>+</m:t>
        </m:r>
        <m:r>
          <m:t>0.17</m:t>
        </m:r>
      </m:oMath>
      <w:r>
        <w:t xml:space="preserve">), which carries about a third of the real dispersion. Without the anchor GPT-4o-mini and Llama answered</w:t>
      </w:r>
      <w:r>
        <w:t xml:space="preserve"> </w:t>
      </w:r>
      <w:r>
        <w:t xml:space="preserve">“</w:t>
      </w:r>
      <w:r>
        <w:t xml:space="preserve">8</w:t>
      </w:r>
      <w:r>
        <w:t xml:space="preserve">”</w:t>
      </w:r>
      <w:r>
        <w:t xml:space="preserve"> </w:t>
      </w:r>
      <w:r>
        <w:t xml:space="preserve">for practically every customer; with the anchor all eight models returned numbers close to the stated base rate of 5 (means of 3.73 to 5.22), so that the answer carries little persona information. Daily simulation again misses the mean (4.35 to 16.65 trips against 4.84) and has almost no dispersion (ratios of 0.04 to 0.38, zero share of at most 0.01). In all 48 cells of designs A, B, and C the variance-to-mean interval lies entirely below the reference.</w:t>
      </w:r>
    </w:p>
    <w:p>
      <w:pPr>
        <w:pStyle w:val="BodyText"/>
      </w:pPr>
      <w:r>
        <w:t xml:space="preserve">Describing a distribution reaches ratios of 3.65 to 6.44. Its intervals contain the ceiling of 6.61 in only 3 of 16 cells (3 of the 8 anchored cells), so the impression from the first three models that the anchor lets design C reach the ceiling does not generalize. Its weak point is the zero share: 0.01 to 0.15 against the real 0.19, below the reference in every cell. The hybrid matches the reference ratio in 12 of 16 cells, the mean in 4, the zero share in 8, and all four of mean, ratio, zero share, and</w:t>
      </w:r>
      <w:r>
        <w:t xml:space="preserve"> </w:t>
      </w:r>
      <m:oMath>
        <m:r>
          <m:t>α</m:t>
        </m:r>
      </m:oMath>
      <w:r>
        <w:t xml:space="preserve"> </w:t>
      </w:r>
      <w:r>
        <w:t xml:space="preserve">in 2: Haiku 5.5 without the anchor and GPT-4o-mini with it. The remaining cells fail because the model’s mean is wrong, for example 3.63 for Mistral Large 4 with the anchor and 7.65 for DeepSeek-V4-Pro without it.</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At a mean of 0.5, 11 of 16 direct-answer cells have variance-to-mean ratios of at most 0.87, three more are cells in which nearly every answer was</w:t>
      </w:r>
      <w:r>
        <w:t xml:space="preserve"> </w:t>
      </w:r>
      <w:r>
        <w:t xml:space="preserve">“</w:t>
      </w:r>
      <w:r>
        <w:t xml:space="preserve">0</w:t>
      </w:r>
      <w:r>
        <w:t xml:space="preserve">”</w:t>
      </w:r>
      <w:r>
        <w:t xml:space="preserve">, one is close to Poisson (0.95), and one (DeepSeek-V4-Pro without the anchor) is overdispersed; at a mean of 4.8 the ratio is at most 0.36 in 13 of 16 cells and at most 2.45 in all of them, and at a mean of 7.8 it is at most 0.53 in 14 of 16 cells and at most 1.73 in all. In every setting several models return one value for practically every customer. Collapse of direct answers is therefore not a rounding artifact of low means. Nor do larger or more recent models escape it: the ratios of Sonnet 5 and GPT-5.6-terra in the two high-mean settings lie between 0.02 and 0.36 for direct and daily designs.</w:t>
      </w:r>
    </w:p>
    <w:bookmarkEnd w:id="47"/>
    <w:bookmarkStart w:id="48" w:name="Xe23f2af77092521160ea0caefb57b398689219a"/>
    <w:p>
      <w:pPr>
        <w:pStyle w:val="Heading2"/>
      </w:pPr>
      <w:r>
        <w:t xml:space="preserve">5.5 Richer personas from real household demographics</w:t>
      </w:r>
    </w:p>
    <w:p>
      <w:pPr>
        <w:pStyle w:val="FirstParagraph"/>
      </w:pPr>
      <w:r>
        <w:t xml:space="preserve">The personas used so far were deliberately simple. To test whether richer personas change the picture, we drew 200 household-windows at random in each of three seeds from the 801 Complete Journey households with demographic records and described each household by its real age group, household type and size, number of children, marital status, income, and home ownership. This design also lets us compare each simulated count with that household’s real count in the same window. The reference is now the real distribution of these households, who shop more often than the full panel: mean 7.83, variance-to-mean ratio 6.52, zero share 0.03, and</w:t>
      </w:r>
      <w:r>
        <w:t xml:space="preserve"> </w:t>
      </w:r>
      <m:oMath>
        <m:r>
          <m:t>α</m:t>
        </m:r>
        <m:r>
          <m:rPr>
            <m:sty m:val="p"/>
          </m:rPr>
          <m:t>=</m:t>
        </m:r>
        <m:r>
          <m:t>0.71</m:t>
        </m:r>
      </m:oMath>
      <w:r>
        <w:t xml:space="preserve">. The ceiling of design C for this reference is 5.01.</w:t>
      </w:r>
    </w:p>
    <w:p>
      <w:pPr>
        <w:pStyle w:val="BodyText"/>
      </w:pPr>
      <w:r>
        <w:t xml:space="preserve">How much can demographics explain? Out of sample (households held out),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the persona describes almost none of the heterogeneity.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against a real</w:t>
      </w:r>
      <w:r>
        <w:t xml:space="preserve"> </w:t>
      </w:r>
      <m:oMath>
        <m:r>
          <m:t>α</m:t>
        </m:r>
      </m:oMath>
      <w:r>
        <w:t xml:space="preserve"> </w:t>
      </w:r>
      <w:r>
        <w:t xml:space="preserve">of 0.71.</w:t>
      </w:r>
    </w:p>
    <w:p>
      <w:pPr>
        <w:pStyle w:val="BodyText"/>
      </w:pPr>
      <w:r>
        <w:t xml:space="preserve">The simulations behave as Proposition 1 predicts (Table 3, Table B3). Direct answers are collapsed again (variance-to-mean ratio 0.00 to 1.73, zero share at most 0.01) with</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(the number in the anchor text)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and has ratios of 0.06 to 0.30. Describing a distribution reaches ratios of 3.44 to 6.11, and its intervals contain the ceiling of 5.01 in 10 of 16 cells (5 of the 8 anchored cells); its zero share (0.03 to 0.15) matches the small real share of 0.03 in 8 of 16 cells. The hybrid matches the reference ratio in 10 of 16 cells, but its mean in only 3 of 16: the model’s</w:t>
      </w:r>
      <w:r>
        <w:t xml:space="preserve"> </w:t>
      </w:r>
      <m:oMath>
        <m:r>
          <m:t>λ</m:t>
        </m:r>
      </m:oMath>
      <w:r>
        <w:t xml:space="preserve"> </w:t>
      </w:r>
      <w:r>
        <w:t xml:space="preserve">is usually too low (4.28 to 7.17 in the cells that miss, against 7.83). It matches the zero share in none of the 16 cells (0.07 to 0.15 against 0.03), because Poisson counts with a gamma multiplier produce more zeros than these households, and so it matches all four of mean, ratio, zero share, and</w:t>
      </w:r>
      <w:r>
        <w:t xml:space="preserve"> </w:t>
      </w:r>
      <m:oMath>
        <m:r>
          <m:t>α</m:t>
        </m:r>
      </m:oMath>
      <w:r>
        <w:t xml:space="preserve"> </w:t>
      </w:r>
      <w:r>
        <w:t xml:space="preserve">in none.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320"/>
        <w:gridCol w:w="1320"/>
        <w:gridCol w:w="1320"/>
        <w:gridCol w:w="1320"/>
        <w:gridCol w:w="1320"/>
        <w:gridCol w:w="1320"/>
      </w:tblGrid>
      <w:tr>
        <w:trPr>
          <w:tblHeader w:val="true"/>
        </w:trPr>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Rank correlation with real count</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pPr>
          </w:p>
        </w:tc>
      </w:tr>
      <w:tr>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 to 10.25</w:t>
            </w:r>
          </w:p>
        </w:tc>
        <w:tc>
          <w:tcPr/>
          <w:p>
            <w:pPr>
              <w:pStyle w:val="Compact"/>
              <w:spacing w:before="20" w:after="20" w:line="240" w:lineRule="auto"/>
              <w:ind w:firstLine="0"/>
              <w:jc w:val="left"/>
            </w:pPr>
            <w:r>
              <w:rPr>
                <w:rFonts w:ascii="Times New Roman" w:hAnsi="Times New Roman"/>
                <w:sz w:val="17"/>
              </w:rPr>
              <w:t xml:space="preserve">0.00 to 1.73</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-0.16 to 0.08</w:t>
            </w:r>
          </w:p>
        </w:tc>
        <w:tc>
          <w:tcPr/>
          <w:p>
            <w:pPr>
              <w:pStyle w:val="Compact"/>
              <w:spacing w:before="20" w:after="20" w:line="240" w:lineRule="auto"/>
              <w:ind w:firstLine="0"/>
              <w:jc w:val="left"/>
            </w:pPr>
            <w:r>
              <w:rPr>
                <w:rFonts w:ascii="Times New Roman" w:hAnsi="Times New Roman"/>
                <w:sz w:val="17"/>
              </w:rPr>
              <w:t xml:space="preserve">-0.11 to +0.04</w:t>
            </w:r>
          </w:p>
        </w:tc>
      </w:tr>
      <w:tr>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 to 17.21</w:t>
            </w:r>
          </w:p>
        </w:tc>
        <w:tc>
          <w:tcPr/>
          <w:p>
            <w:pPr>
              <w:pStyle w:val="Compact"/>
              <w:spacing w:before="20" w:after="20" w:line="240" w:lineRule="auto"/>
              <w:ind w:firstLine="0"/>
              <w:jc w:val="left"/>
            </w:pPr>
            <w:r>
              <w:rPr>
                <w:rFonts w:ascii="Times New Roman" w:hAnsi="Times New Roman"/>
                <w:sz w:val="17"/>
              </w:rPr>
              <w:t xml:space="preserve">0.06 to 0.30</w:t>
            </w:r>
          </w:p>
        </w:tc>
        <w:tc>
          <w:tcPr/>
          <w:p>
            <w:pPr>
              <w:pStyle w:val="Compact"/>
              <w:spacing w:before="20" w:after="20" w:line="240" w:lineRule="auto"/>
              <w:ind w:firstLine="0"/>
              <w:jc w:val="left"/>
            </w:pPr>
            <w:r>
              <w:rPr>
                <w:rFonts w:ascii="Times New Roman" w:hAnsi="Times New Roman"/>
                <w:sz w:val="17"/>
              </w:rPr>
              <w:t xml:space="preserve">0.00 to 0.00</w:t>
            </w:r>
          </w:p>
        </w:tc>
        <w:tc>
          <w:tcPr/>
          <w:p>
            <w:pPr>
              <w:pStyle w:val="Compact"/>
              <w:spacing w:before="20" w:after="20" w:line="240" w:lineRule="auto"/>
              <w:ind w:firstLine="0"/>
              <w:jc w:val="left"/>
            </w:pPr>
            <w:r>
              <w:rPr>
                <w:rFonts w:ascii="Times New Roman" w:hAnsi="Times New Roman"/>
                <w:sz w:val="17"/>
              </w:rPr>
              <w:t xml:space="preserve">-0.12 to -0.05</w:t>
            </w:r>
          </w:p>
        </w:tc>
        <w:tc>
          <w:tcPr/>
          <w:p>
            <w:pPr>
              <w:pStyle w:val="Compact"/>
              <w:spacing w:before="20" w:after="20" w:line="240" w:lineRule="auto"/>
              <w:ind w:firstLine="0"/>
              <w:jc w:val="left"/>
            </w:pPr>
            <w:r>
              <w:rPr>
                <w:rFonts w:ascii="Times New Roman" w:hAnsi="Times New Roman"/>
                <w:sz w:val="17"/>
              </w:rPr>
              <w:t xml:space="preserve">-0.08 to +0.04</w:t>
            </w:r>
          </w:p>
        </w:tc>
      </w:tr>
      <w:tr>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 to 9.46</w:t>
            </w:r>
          </w:p>
        </w:tc>
        <w:tc>
          <w:tcPr/>
          <w:p>
            <w:pPr>
              <w:pStyle w:val="Compact"/>
              <w:spacing w:before="20" w:after="20" w:line="240" w:lineRule="auto"/>
              <w:ind w:firstLine="0"/>
              <w:jc w:val="left"/>
            </w:pPr>
            <w:r>
              <w:rPr>
                <w:rFonts w:ascii="Times New Roman" w:hAnsi="Times New Roman"/>
                <w:sz w:val="17"/>
              </w:rPr>
              <w:t xml:space="preserve">3.44 to 6.11</w:t>
            </w:r>
          </w:p>
        </w:tc>
        <w:tc>
          <w:tcPr/>
          <w:p>
            <w:pPr>
              <w:pStyle w:val="Compact"/>
              <w:spacing w:before="20" w:after="20" w:line="240" w:lineRule="auto"/>
              <w:ind w:firstLine="0"/>
              <w:jc w:val="left"/>
            </w:pPr>
            <w:r>
              <w:rPr>
                <w:rFonts w:ascii="Times New Roman" w:hAnsi="Times New Roman"/>
                <w:sz w:val="17"/>
              </w:rPr>
              <w:t xml:space="preserve">0.03 to 0.15</w:t>
            </w:r>
          </w:p>
        </w:tc>
        <w:tc>
          <w:tcPr/>
          <w:p>
            <w:pPr>
              <w:pStyle w:val="Compact"/>
              <w:spacing w:before="20" w:after="20" w:line="240" w:lineRule="auto"/>
              <w:ind w:firstLine="0"/>
              <w:jc w:val="left"/>
            </w:pPr>
            <w:r>
              <w:rPr>
                <w:rFonts w:ascii="Times New Roman" w:hAnsi="Times New Roman"/>
                <w:sz w:val="17"/>
              </w:rPr>
              <w:t xml:space="preserve">0.37 to 0.79</w:t>
            </w:r>
          </w:p>
        </w:tc>
        <w:tc>
          <w:tcPr/>
          <w:p>
            <w:pPr>
              <w:pStyle w:val="Compact"/>
              <w:spacing w:before="20" w:after="20" w:line="240" w:lineRule="auto"/>
              <w:ind w:firstLine="0"/>
              <w:jc w:val="left"/>
            </w:pPr>
            <w:r>
              <w:rPr>
                <w:rFonts w:ascii="Times New Roman" w:hAnsi="Times New Roman"/>
                <w:sz w:val="17"/>
              </w:rPr>
              <w:t xml:space="preserve">-0.01 to +0.08</w:t>
            </w:r>
          </w:p>
        </w:tc>
      </w:tr>
      <w:tr>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 to 7.53</w:t>
            </w:r>
          </w:p>
        </w:tc>
        <w:tc>
          <w:tcPr/>
          <w:p>
            <w:pPr>
              <w:pStyle w:val="Compact"/>
              <w:spacing w:before="20" w:after="20" w:line="240" w:lineRule="auto"/>
              <w:ind w:firstLine="0"/>
              <w:jc w:val="left"/>
            </w:pPr>
            <w:r>
              <w:rPr>
                <w:rFonts w:ascii="Times New Roman" w:hAnsi="Times New Roman"/>
                <w:sz w:val="17"/>
              </w:rPr>
              <w:t xml:space="preserve">4.48 to 6.70</w:t>
            </w:r>
          </w:p>
        </w:tc>
        <w:tc>
          <w:tcPr/>
          <w:p>
            <w:pPr>
              <w:pStyle w:val="Compact"/>
              <w:spacing w:before="20" w:after="20" w:line="240" w:lineRule="auto"/>
              <w:ind w:firstLine="0"/>
              <w:jc w:val="left"/>
            </w:pPr>
            <w:r>
              <w:rPr>
                <w:rFonts w:ascii="Times New Roman" w:hAnsi="Times New Roman"/>
                <w:sz w:val="17"/>
              </w:rPr>
              <w:t xml:space="preserve">0.07 to 0.15</w:t>
            </w:r>
          </w:p>
        </w:tc>
        <w:tc>
          <w:tcPr/>
          <w:p>
            <w:pPr>
              <w:pStyle w:val="Compact"/>
              <w:spacing w:before="20" w:after="20" w:line="240" w:lineRule="auto"/>
              <w:ind w:firstLine="0"/>
              <w:jc w:val="left"/>
            </w:pPr>
            <w:r>
              <w:rPr>
                <w:rFonts w:ascii="Times New Roman" w:hAnsi="Times New Roman"/>
                <w:sz w:val="17"/>
              </w:rPr>
              <w:t xml:space="preserve">0.71 to 0.84</w:t>
            </w:r>
          </w:p>
        </w:tc>
        <w:tc>
          <w:tcPr/>
          <w:p>
            <w:pPr>
              <w:pStyle w:val="Compact"/>
              <w:spacing w:before="20" w:after="20" w:line="240" w:lineRule="auto"/>
              <w:ind w:firstLine="0"/>
              <w:jc w:val="left"/>
            </w:pPr>
            <w:r>
              <w:rPr>
                <w:rFonts w:ascii="Times New Roman" w:hAnsi="Times New Roman"/>
                <w:sz w:val="17"/>
              </w:rPr>
              <w:t xml:space="preserve">-0.06 to +0.05</w:t>
            </w:r>
          </w:p>
        </w:tc>
      </w:tr>
    </w:tbl>
    <w:p>
      <w:pPr>
        <w:pStyle w:val="BodyText"/>
        <w:spacing w:line="240" w:lineRule="auto"/>
        <w:ind w:firstLine="0"/>
      </w:pPr>
      <w:r>
        <w:rPr>
          <w:iCs/>
          <w:i/>
        </w:rPr>
        <w:t xml:space="preserve">Table 3. Persona experiment with real household demographics: range of results across the 16 model-and-prompt cells of each design (600 household-windows per cell). The last column is the range of the Spearman correlation between the simulated count and the household’s real count in the same window.</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Table 4 reports the elicited-probability design (the most stable of the three formats we tried), and Figure 2 shows the absolute lift for the men’s email. Models run on three seeds are pooled over the three samples of 300 customers. The real effect is a risk ratio of 1.72 for visits and 2.19 for purchases for the men’s email, with absolute lifts of 7.7 and 0.7 percentage points.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879"/>
        <w:gridCol w:w="879"/>
        <w:gridCol w:w="879"/>
        <w:gridCol w:w="879"/>
        <w:gridCol w:w="879"/>
        <w:gridCol w:w="879"/>
        <w:gridCol w:w="879"/>
        <w:gridCol w:w="879"/>
        <w:gridCol w:w="879"/>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Outcome</w:t>
            </w:r>
          </w:p>
        </w:tc>
        <w:tc>
          <w:tcPr/>
          <w:p>
            <w:pPr>
              <w:pStyle w:val="Compact"/>
              <w:spacing w:before="20" w:after="20" w:line="240" w:lineRule="auto"/>
              <w:ind w:firstLine="0"/>
              <w:jc w:val="left"/>
            </w:pPr>
            <w:r>
              <w:rPr>
                <w:rFonts w:ascii="Times New Roman" w:hAnsi="Times New Roman"/>
                <w:b/>
                <w:sz w:val="17"/>
              </w:rPr>
              <w:t xml:space="preserve">No email</w:t>
            </w:r>
          </w:p>
        </w:tc>
        <w:tc>
          <w:tcPr/>
          <w:p>
            <w:pPr>
              <w:pStyle w:val="Compact"/>
              <w:spacing w:before="20" w:after="20" w:line="240" w:lineRule="auto"/>
              <w:ind w:firstLine="0"/>
              <w:jc w:val="left"/>
            </w:pPr>
            <w:r>
              <w:rPr>
                <w:rFonts w:ascii="Times New Roman" w:hAnsi="Times New Roman"/>
                <w:b/>
                <w:sz w:val="17"/>
              </w:rPr>
              <w:t xml:space="preserve">Lift, men’s email [95% CI]</w:t>
            </w:r>
          </w:p>
        </w:tc>
        <w:tc>
          <w:tcPr/>
          <w:p>
            <w:pPr>
              <w:pStyle w:val="Compact"/>
              <w:spacing w:before="20" w:after="20" w:line="240" w:lineRule="auto"/>
              <w:ind w:firstLine="0"/>
              <w:jc w:val="left"/>
            </w:pPr>
            <w:r>
              <w:rPr>
                <w:rFonts w:ascii="Times New Roman" w:hAnsi="Times New Roman"/>
                <w:b/>
                <w:sz w:val="17"/>
              </w:rPr>
              <w:t xml:space="preserve">Lift, women’s email [95% CI]</w:t>
            </w:r>
          </w:p>
        </w:tc>
        <w:tc>
          <w:tcPr/>
          <w:p>
            <w:pPr>
              <w:pStyle w:val="Compact"/>
              <w:spacing w:before="20" w:after="20" w:line="240" w:lineRule="auto"/>
              <w:ind w:firstLine="0"/>
              <w:jc w:val="left"/>
            </w:pPr>
            <w:r>
              <w:rPr>
                <w:rFonts w:ascii="Times New Roman" w:hAnsi="Times New Roman"/>
                <w:b/>
                <w:sz w:val="17"/>
              </w:rPr>
              <w:t xml:space="preserve">Gap men minus women [95% CI]</w:t>
            </w:r>
          </w:p>
        </w:tc>
        <w:tc>
          <w:tcPr/>
          <w:p>
            <w:pPr>
              <w:pStyle w:val="Compact"/>
              <w:spacing w:before="20" w:after="20" w:line="240" w:lineRule="auto"/>
              <w:ind w:firstLine="0"/>
              <w:jc w:val="left"/>
            </w:pPr>
            <w:r>
              <w:rPr>
                <w:rFonts w:ascii="Times New Roman" w:hAnsi="Times New Roman"/>
                <w:b/>
                <w:sz w:val="17"/>
              </w:rPr>
              <w:t xml:space="preserve">RR men</w:t>
            </w:r>
          </w:p>
        </w:tc>
        <w:tc>
          <w:tcPr/>
          <w:p>
            <w:pPr>
              <w:pStyle w:val="Compact"/>
              <w:spacing w:before="20" w:after="20" w:line="240" w:lineRule="auto"/>
              <w:ind w:firstLine="0"/>
              <w:jc w:val="left"/>
            </w:pPr>
            <w:r>
              <w:rPr>
                <w:rFonts w:ascii="Times New Roman" w:hAnsi="Times New Roman"/>
                <w:b/>
                <w:sz w:val="17"/>
              </w:rPr>
              <w:t xml:space="preserve">RR women</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0.106</w:t>
            </w:r>
          </w:p>
        </w:tc>
        <w:tc>
          <w:tcPr/>
          <w:p>
            <w:pPr>
              <w:pStyle w:val="Compact"/>
              <w:spacing w:before="20" w:after="20" w:line="240" w:lineRule="auto"/>
              <w:ind w:firstLine="0"/>
              <w:jc w:val="left"/>
            </w:pPr>
            <w:r>
              <w:rPr>
                <w:rFonts w:ascii="Times New Roman" w:hAnsi="Times New Roman"/>
                <w:sz w:val="17"/>
              </w:rPr>
              <w:t xml:space="preserve">+0.077 [+0.070, +0.083]</w:t>
            </w:r>
          </w:p>
        </w:tc>
        <w:tc>
          <w:tcPr/>
          <w:p>
            <w:pPr>
              <w:pStyle w:val="Compact"/>
              <w:spacing w:before="20" w:after="20" w:line="240" w:lineRule="auto"/>
              <w:ind w:firstLine="0"/>
              <w:jc w:val="left"/>
            </w:pPr>
            <w:r>
              <w:rPr>
                <w:rFonts w:ascii="Times New Roman" w:hAnsi="Times New Roman"/>
                <w:sz w:val="17"/>
              </w:rPr>
              <w:t xml:space="preserve">+0.045 [+0.039, +0.052]</w:t>
            </w:r>
          </w:p>
        </w:tc>
        <w:tc>
          <w:tcPr/>
          <w:p>
            <w:pPr>
              <w:pStyle w:val="Compact"/>
              <w:spacing w:before="20" w:after="20" w:line="240" w:lineRule="auto"/>
              <w:ind w:firstLine="0"/>
              <w:jc w:val="left"/>
            </w:pPr>
            <w:r>
              <w:rPr>
                <w:rFonts w:ascii="Times New Roman" w:hAnsi="Times New Roman"/>
                <w:sz w:val="17"/>
              </w:rPr>
              <w:t xml:space="preserve">+0.031 [+0.024, +0.038]</w:t>
            </w:r>
          </w:p>
        </w:tc>
        <w:tc>
          <w:tcPr/>
          <w:p>
            <w:pPr>
              <w:pStyle w:val="Compact"/>
              <w:spacing w:before="20" w:after="20" w:line="240" w:lineRule="auto"/>
              <w:ind w:firstLine="0"/>
              <w:jc w:val="left"/>
            </w:pPr>
            <w:r>
              <w:rPr>
                <w:rFonts w:ascii="Times New Roman" w:hAnsi="Times New Roman"/>
                <w:sz w:val="17"/>
              </w:rPr>
              <w:t xml:space="preserve">1.72</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Real (randomized)</w:t>
            </w: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0.0057</w:t>
            </w:r>
          </w:p>
        </w:tc>
        <w:tc>
          <w:tcPr/>
          <w:p>
            <w:pPr>
              <w:pStyle w:val="Compact"/>
              <w:spacing w:before="20" w:after="20" w:line="240" w:lineRule="auto"/>
              <w:ind w:firstLine="0"/>
              <w:jc w:val="left"/>
            </w:pPr>
            <w:r>
              <w:rPr>
                <w:rFonts w:ascii="Times New Roman" w:hAnsi="Times New Roman"/>
                <w:sz w:val="17"/>
              </w:rPr>
              <w:t xml:space="preserve">+0.0068 [+0.0050, +0.0086]</w:t>
            </w:r>
          </w:p>
        </w:tc>
        <w:tc>
          <w:tcPr/>
          <w:p>
            <w:pPr>
              <w:pStyle w:val="Compact"/>
              <w:spacing w:before="20" w:after="20" w:line="240" w:lineRule="auto"/>
              <w:ind w:firstLine="0"/>
              <w:jc w:val="left"/>
            </w:pPr>
            <w:r>
              <w:rPr>
                <w:rFonts w:ascii="Times New Roman" w:hAnsi="Times New Roman"/>
                <w:sz w:val="17"/>
              </w:rPr>
              <w:t xml:space="preserve">+0.0031 [+0.0015, +0.0047]</w:t>
            </w:r>
          </w:p>
        </w:tc>
        <w:tc>
          <w:tcPr/>
          <w:p>
            <w:pPr>
              <w:pStyle w:val="Compact"/>
              <w:spacing w:before="20" w:after="20" w:line="240" w:lineRule="auto"/>
              <w:ind w:firstLine="0"/>
              <w:jc w:val="left"/>
            </w:pPr>
            <w:r>
              <w:rPr>
                <w:rFonts w:ascii="Times New Roman" w:hAnsi="Times New Roman"/>
                <w:sz w:val="17"/>
              </w:rPr>
              <w:t xml:space="preserve">+0.0037 [+0.0017, +0.0056]</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0.260</w:t>
            </w:r>
          </w:p>
        </w:tc>
        <w:tc>
          <w:tcPr/>
          <w:p>
            <w:pPr>
              <w:pStyle w:val="Compact"/>
              <w:spacing w:before="20" w:after="20" w:line="240" w:lineRule="auto"/>
              <w:ind w:firstLine="0"/>
              <w:jc w:val="left"/>
            </w:pPr>
            <w:r>
              <w:rPr>
                <w:rFonts w:ascii="Times New Roman" w:hAnsi="Times New Roman"/>
                <w:sz w:val="17"/>
              </w:rPr>
              <w:t xml:space="preserve">+0.190 [+0.175, +0.206]*</w:t>
            </w:r>
          </w:p>
        </w:tc>
        <w:tc>
          <w:tcPr/>
          <w:p>
            <w:pPr>
              <w:pStyle w:val="Compact"/>
              <w:spacing w:before="20" w:after="20" w:line="240" w:lineRule="auto"/>
              <w:ind w:firstLine="0"/>
              <w:jc w:val="left"/>
            </w:pPr>
            <w:r>
              <w:rPr>
                <w:rFonts w:ascii="Times New Roman" w:hAnsi="Times New Roman"/>
                <w:sz w:val="17"/>
              </w:rPr>
              <w:t xml:space="preserve">+0.215 [+0.199, +0.229]*</w:t>
            </w:r>
          </w:p>
        </w:tc>
        <w:tc>
          <w:tcPr/>
          <w:p>
            <w:pPr>
              <w:pStyle w:val="Compact"/>
              <w:spacing w:before="20" w:after="20" w:line="240" w:lineRule="auto"/>
              <w:ind w:firstLine="0"/>
              <w:jc w:val="left"/>
            </w:pPr>
            <w:r>
              <w:rPr>
                <w:rFonts w:ascii="Times New Roman" w:hAnsi="Times New Roman"/>
                <w:sz w:val="17"/>
              </w:rPr>
              <w:t xml:space="preserve">-0.025 [-0.051, +0.003]*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+0.003 [+0.002, +0.004]*</w:t>
            </w:r>
          </w:p>
        </w:tc>
        <w:tc>
          <w:tcPr/>
          <w:p>
            <w:pPr>
              <w:pStyle w:val="Compact"/>
              <w:spacing w:before="20" w:after="20" w:line="240" w:lineRule="auto"/>
              <w:ind w:firstLine="0"/>
              <w:jc w:val="left"/>
            </w:pPr>
            <w:r>
              <w:rPr>
                <w:rFonts w:ascii="Times New Roman" w:hAnsi="Times New Roman"/>
                <w:sz w:val="17"/>
              </w:rPr>
              <w:t xml:space="preserve">+0.004 [+0.002, +0.006]*</w:t>
            </w:r>
          </w:p>
        </w:tc>
        <w:tc>
          <w:tcPr/>
          <w:p>
            <w:pPr>
              <w:pStyle w:val="Compact"/>
              <w:spacing w:before="20" w:after="20" w:line="240" w:lineRule="auto"/>
              <w:ind w:firstLine="0"/>
              <w:jc w:val="left"/>
            </w:pPr>
            <w:r>
              <w:rPr>
                <w:rFonts w:ascii="Times New Roman" w:hAnsi="Times New Roman"/>
                <w:sz w:val="17"/>
              </w:rPr>
              <w:t xml:space="preserve">-0.001 [-0.003, +0.001]*</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1.04*</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0.296</w:t>
            </w:r>
          </w:p>
        </w:tc>
        <w:tc>
          <w:tcPr/>
          <w:p>
            <w:pPr>
              <w:pStyle w:val="Compact"/>
              <w:spacing w:before="20" w:after="20" w:line="240" w:lineRule="auto"/>
              <w:ind w:firstLine="0"/>
              <w:jc w:val="left"/>
            </w:pPr>
            <w:r>
              <w:rPr>
                <w:rFonts w:ascii="Times New Roman" w:hAnsi="Times New Roman"/>
                <w:sz w:val="17"/>
              </w:rPr>
              <w:t xml:space="preserve">+0.071 [+0.057, +0.084]</w:t>
            </w:r>
          </w:p>
        </w:tc>
        <w:tc>
          <w:tcPr/>
          <w:p>
            <w:pPr>
              <w:pStyle w:val="Compact"/>
              <w:spacing w:before="20" w:after="20" w:line="240" w:lineRule="auto"/>
              <w:ind w:firstLine="0"/>
              <w:jc w:val="left"/>
            </w:pPr>
            <w:r>
              <w:rPr>
                <w:rFonts w:ascii="Times New Roman" w:hAnsi="Times New Roman"/>
                <w:sz w:val="17"/>
              </w:rPr>
              <w:t xml:space="preserve">+0.064 [+0.050, +0.079]*</w:t>
            </w:r>
          </w:p>
        </w:tc>
        <w:tc>
          <w:tcPr/>
          <w:p>
            <w:pPr>
              <w:pStyle w:val="Compact"/>
              <w:spacing w:before="20" w:after="20" w:line="240" w:lineRule="auto"/>
              <w:ind w:firstLine="0"/>
              <w:jc w:val="left"/>
            </w:pPr>
            <w:r>
              <w:rPr>
                <w:rFonts w:ascii="Times New Roman" w:hAnsi="Times New Roman"/>
                <w:sz w:val="17"/>
              </w:rPr>
              <w:t xml:space="preserve">+0.007 [-0.018, +0.030]*</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+0.035 [+0.032, +0.039]*</w:t>
            </w:r>
          </w:p>
        </w:tc>
        <w:tc>
          <w:tcPr/>
          <w:p>
            <w:pPr>
              <w:pStyle w:val="Compact"/>
              <w:spacing w:before="20" w:after="20" w:line="240" w:lineRule="auto"/>
              <w:ind w:firstLine="0"/>
              <w:jc w:val="left"/>
            </w:pPr>
            <w:r>
              <w:rPr>
                <w:rFonts w:ascii="Times New Roman" w:hAnsi="Times New Roman"/>
                <w:sz w:val="17"/>
              </w:rPr>
              <w:t xml:space="preserve">+0.036 [+0.033, +0.039]*</w:t>
            </w:r>
          </w:p>
        </w:tc>
        <w:tc>
          <w:tcPr/>
          <w:p>
            <w:pPr>
              <w:pStyle w:val="Compact"/>
              <w:spacing w:before="20" w:after="20" w:line="240" w:lineRule="auto"/>
              <w:ind w:firstLine="0"/>
              <w:jc w:val="left"/>
            </w:pPr>
            <w:r>
              <w:rPr>
                <w:rFonts w:ascii="Times New Roman" w:hAnsi="Times New Roman"/>
                <w:sz w:val="17"/>
              </w:rPr>
              <w:t xml:space="preserve">-0.000 [-0.006, +0.005]*</w:t>
            </w:r>
          </w:p>
        </w:tc>
        <w:tc>
          <w:tcPr/>
          <w:p>
            <w:pPr>
              <w:pStyle w:val="Compact"/>
              <w:spacing w:before="20" w:after="20" w:line="240" w:lineRule="auto"/>
              <w:ind w:firstLine="0"/>
              <w:jc w:val="left"/>
            </w:pPr>
            <w:r>
              <w:rPr>
                <w:rFonts w:ascii="Times New Roman" w:hAnsi="Times New Roman"/>
                <w:sz w:val="17"/>
              </w:rPr>
              <w:t xml:space="preserve">1.36*</w:t>
            </w:r>
          </w:p>
        </w:tc>
        <w:tc>
          <w:tcPr/>
          <w:p>
            <w:pPr>
              <w:pStyle w:val="Compact"/>
              <w:spacing w:before="20" w:after="20" w:line="240" w:lineRule="auto"/>
              <w:ind w:firstLine="0"/>
              <w:jc w:val="left"/>
            </w:pPr>
            <w:r>
              <w:rPr>
                <w:rFonts w:ascii="Times New Roman" w:hAnsi="Times New Roman"/>
                <w:sz w:val="17"/>
              </w:rPr>
              <w:t xml:space="preserve">1.36</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0.154</w:t>
            </w:r>
          </w:p>
        </w:tc>
        <w:tc>
          <w:tcPr/>
          <w:p>
            <w:pPr>
              <w:pStyle w:val="Compact"/>
              <w:spacing w:before="20" w:after="20" w:line="240" w:lineRule="auto"/>
              <w:ind w:firstLine="0"/>
              <w:jc w:val="left"/>
            </w:pPr>
            <w:r>
              <w:rPr>
                <w:rFonts w:ascii="Times New Roman" w:hAnsi="Times New Roman"/>
                <w:sz w:val="17"/>
              </w:rPr>
              <w:t xml:space="preserve">+0.073 [+0.065, +0.081]</w:t>
            </w:r>
          </w:p>
        </w:tc>
        <w:tc>
          <w:tcPr/>
          <w:p>
            <w:pPr>
              <w:pStyle w:val="Compact"/>
              <w:spacing w:before="20" w:after="20" w:line="240" w:lineRule="auto"/>
              <w:ind w:firstLine="0"/>
              <w:jc w:val="left"/>
            </w:pPr>
            <w:r>
              <w:rPr>
                <w:rFonts w:ascii="Times New Roman" w:hAnsi="Times New Roman"/>
                <w:sz w:val="17"/>
              </w:rPr>
              <w:t xml:space="preserve">+0.091 [+0.082, +0.099]*</w:t>
            </w:r>
          </w:p>
        </w:tc>
        <w:tc>
          <w:tcPr/>
          <w:p>
            <w:pPr>
              <w:pStyle w:val="Compact"/>
              <w:spacing w:before="20" w:after="20" w:line="240" w:lineRule="auto"/>
              <w:ind w:firstLine="0"/>
              <w:jc w:val="left"/>
            </w:pPr>
            <w:r>
              <w:rPr>
                <w:rFonts w:ascii="Times New Roman" w:hAnsi="Times New Roman"/>
                <w:sz w:val="17"/>
              </w:rPr>
              <w:t xml:space="preserve">-0.018 [-0.032, -0.004]*</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1.59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0.093</w:t>
            </w:r>
          </w:p>
        </w:tc>
        <w:tc>
          <w:tcPr/>
          <w:p>
            <w:pPr>
              <w:pStyle w:val="Compact"/>
              <w:spacing w:before="20" w:after="20" w:line="240" w:lineRule="auto"/>
              <w:ind w:firstLine="0"/>
              <w:jc w:val="left"/>
            </w:pPr>
            <w:r>
              <w:rPr>
                <w:rFonts w:ascii="Times New Roman" w:hAnsi="Times New Roman"/>
                <w:sz w:val="17"/>
              </w:rPr>
              <w:t xml:space="preserve">+0.159 [+0.154, +0.164]*</w:t>
            </w:r>
          </w:p>
        </w:tc>
        <w:tc>
          <w:tcPr/>
          <w:p>
            <w:pPr>
              <w:pStyle w:val="Compact"/>
              <w:spacing w:before="20" w:after="20" w:line="240" w:lineRule="auto"/>
              <w:ind w:firstLine="0"/>
              <w:jc w:val="left"/>
            </w:pPr>
            <w:r>
              <w:rPr>
                <w:rFonts w:ascii="Times New Roman" w:hAnsi="Times New Roman"/>
                <w:sz w:val="17"/>
              </w:rPr>
              <w:t xml:space="preserve">+0.163 [+0.158, +0.167]*</w:t>
            </w:r>
          </w:p>
        </w:tc>
        <w:tc>
          <w:tcPr/>
          <w:p>
            <w:pPr>
              <w:pStyle w:val="Compact"/>
              <w:spacing w:before="20" w:after="20" w:line="240" w:lineRule="auto"/>
              <w:ind w:firstLine="0"/>
              <w:jc w:val="left"/>
            </w:pPr>
            <w:r>
              <w:rPr>
                <w:rFonts w:ascii="Times New Roman" w:hAnsi="Times New Roman"/>
                <w:sz w:val="17"/>
              </w:rPr>
              <w:t xml:space="preserve">-0.004 [-0.011, +0.003]*</w:t>
            </w:r>
          </w:p>
        </w:tc>
        <w:tc>
          <w:tcPr/>
          <w:p>
            <w:pPr>
              <w:pStyle w:val="Compact"/>
              <w:spacing w:before="20" w:after="20" w:line="240" w:lineRule="auto"/>
              <w:ind w:firstLine="0"/>
              <w:jc w:val="left"/>
            </w:pPr>
            <w:r>
              <w:rPr>
                <w:rFonts w:ascii="Times New Roman" w:hAnsi="Times New Roman"/>
                <w:sz w:val="17"/>
              </w:rPr>
              <w:t xml:space="preserve">2.71*</w:t>
            </w:r>
          </w:p>
        </w:tc>
        <w:tc>
          <w:tcPr/>
          <w:p>
            <w:pPr>
              <w:pStyle w:val="Compact"/>
              <w:spacing w:before="20" w:after="20" w:line="240" w:lineRule="auto"/>
              <w:ind w:firstLine="0"/>
              <w:jc w:val="left"/>
            </w:pPr>
            <w:r>
              <w:rPr>
                <w:rFonts w:ascii="Times New Roman" w:hAnsi="Times New Roman"/>
                <w:sz w:val="17"/>
              </w:rPr>
              <w:t xml:space="preserve">2.75*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0.223</w:t>
            </w:r>
          </w:p>
        </w:tc>
        <w:tc>
          <w:tcPr/>
          <w:p>
            <w:pPr>
              <w:pStyle w:val="Compact"/>
              <w:spacing w:before="20" w:after="20" w:line="240" w:lineRule="auto"/>
              <w:ind w:firstLine="0"/>
              <w:jc w:val="left"/>
            </w:pPr>
            <w:r>
              <w:rPr>
                <w:rFonts w:ascii="Times New Roman" w:hAnsi="Times New Roman"/>
                <w:sz w:val="17"/>
              </w:rPr>
              <w:t xml:space="preserve">+0.137 [+0.120, +0.153]*</w:t>
            </w:r>
          </w:p>
        </w:tc>
        <w:tc>
          <w:tcPr/>
          <w:p>
            <w:pPr>
              <w:pStyle w:val="Compact"/>
              <w:spacing w:before="20" w:after="20" w:line="240" w:lineRule="auto"/>
              <w:ind w:firstLine="0"/>
              <w:jc w:val="left"/>
            </w:pPr>
            <w:r>
              <w:rPr>
                <w:rFonts w:ascii="Times New Roman" w:hAnsi="Times New Roman"/>
                <w:sz w:val="17"/>
              </w:rPr>
              <w:t xml:space="preserve">+0.141 [+0.125, +0.157]*</w:t>
            </w:r>
          </w:p>
        </w:tc>
        <w:tc>
          <w:tcPr/>
          <w:p>
            <w:pPr>
              <w:pStyle w:val="Compact"/>
              <w:spacing w:before="20" w:after="20" w:line="240" w:lineRule="auto"/>
              <w:ind w:firstLine="0"/>
              <w:jc w:val="left"/>
            </w:pPr>
            <w:r>
              <w:rPr>
                <w:rFonts w:ascii="Times New Roman" w:hAnsi="Times New Roman"/>
                <w:sz w:val="17"/>
              </w:rPr>
              <w:t xml:space="preserve">-0.004 [-0.031, +0.024]*</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1.63*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+0.025 [+0.012, +0.040]*</w:t>
            </w:r>
          </w:p>
        </w:tc>
        <w:tc>
          <w:tcPr/>
          <w:p>
            <w:pPr>
              <w:pStyle w:val="Compact"/>
              <w:spacing w:before="20" w:after="20" w:line="240" w:lineRule="auto"/>
              <w:ind w:firstLine="0"/>
              <w:jc w:val="left"/>
            </w:pPr>
            <w:r>
              <w:rPr>
                <w:rFonts w:ascii="Times New Roman" w:hAnsi="Times New Roman"/>
                <w:sz w:val="17"/>
              </w:rPr>
              <w:t xml:space="preserve">+0.025 [+0.011, +0.040]*</w:t>
            </w:r>
          </w:p>
        </w:tc>
        <w:tc>
          <w:tcPr/>
          <w:p>
            <w:pPr>
              <w:pStyle w:val="Compact"/>
              <w:spacing w:before="20" w:after="20" w:line="240" w:lineRule="auto"/>
              <w:ind w:firstLine="0"/>
              <w:jc w:val="left"/>
            </w:pPr>
            <w:r>
              <w:rPr>
                <w:rFonts w:ascii="Times New Roman" w:hAnsi="Times New Roman"/>
                <w:sz w:val="17"/>
              </w:rPr>
              <w:t xml:space="preserve">-0.000 [-0.022, +0.020]*</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1.13*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0.282</w:t>
            </w:r>
          </w:p>
        </w:tc>
        <w:tc>
          <w:tcPr/>
          <w:p>
            <w:pPr>
              <w:pStyle w:val="Compact"/>
              <w:spacing w:before="20" w:after="20" w:line="240" w:lineRule="auto"/>
              <w:ind w:firstLine="0"/>
              <w:jc w:val="left"/>
            </w:pPr>
            <w:r>
              <w:rPr>
                <w:rFonts w:ascii="Times New Roman" w:hAnsi="Times New Roman"/>
                <w:sz w:val="17"/>
              </w:rPr>
              <w:t xml:space="preserve">+0.050 [+0.033, +0.069]*</w:t>
            </w:r>
          </w:p>
        </w:tc>
        <w:tc>
          <w:tcPr/>
          <w:p>
            <w:pPr>
              <w:pStyle w:val="Compact"/>
              <w:spacing w:before="20" w:after="20" w:line="240" w:lineRule="auto"/>
              <w:ind w:firstLine="0"/>
              <w:jc w:val="left"/>
            </w:pPr>
            <w:r>
              <w:rPr>
                <w:rFonts w:ascii="Times New Roman" w:hAnsi="Times New Roman"/>
                <w:sz w:val="17"/>
              </w:rPr>
              <w:t xml:space="preserve">+0.052 [+0.035, +0.070]</w:t>
            </w:r>
          </w:p>
        </w:tc>
        <w:tc>
          <w:tcPr/>
          <w:p>
            <w:pPr>
              <w:pStyle w:val="Compact"/>
              <w:spacing w:before="20" w:after="20" w:line="240" w:lineRule="auto"/>
              <w:ind w:firstLine="0"/>
              <w:jc w:val="left"/>
            </w:pPr>
            <w:r>
              <w:rPr>
                <w:rFonts w:ascii="Times New Roman" w:hAnsi="Times New Roman"/>
                <w:sz w:val="17"/>
              </w:rPr>
              <w:t xml:space="preserve">-0.001 [-0.030, +0.027]*</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1.18*</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0.102</w:t>
            </w:r>
          </w:p>
        </w:tc>
        <w:tc>
          <w:tcPr/>
          <w:p>
            <w:pPr>
              <w:pStyle w:val="Compact"/>
              <w:spacing w:before="20" w:after="20" w:line="240" w:lineRule="auto"/>
              <w:ind w:firstLine="0"/>
              <w:jc w:val="left"/>
            </w:pPr>
            <w:r>
              <w:rPr>
                <w:rFonts w:ascii="Times New Roman" w:hAnsi="Times New Roman"/>
                <w:sz w:val="17"/>
              </w:rPr>
              <w:t xml:space="preserve">+0.075 [+0.063, +0.087]</w:t>
            </w:r>
          </w:p>
        </w:tc>
        <w:tc>
          <w:tcPr/>
          <w:p>
            <w:pPr>
              <w:pStyle w:val="Compact"/>
              <w:spacing w:before="20" w:after="20" w:line="240" w:lineRule="auto"/>
              <w:ind w:firstLine="0"/>
              <w:jc w:val="left"/>
            </w:pPr>
            <w:r>
              <w:rPr>
                <w:rFonts w:ascii="Times New Roman" w:hAnsi="Times New Roman"/>
                <w:sz w:val="17"/>
              </w:rPr>
              <w:t xml:space="preserve">+0.083 [+0.070, +0.095]*</w:t>
            </w:r>
          </w:p>
        </w:tc>
        <w:tc>
          <w:tcPr/>
          <w:p>
            <w:pPr>
              <w:pStyle w:val="Compact"/>
              <w:spacing w:before="20" w:after="20" w:line="240" w:lineRule="auto"/>
              <w:ind w:firstLine="0"/>
              <w:jc w:val="left"/>
            </w:pPr>
            <w:r>
              <w:rPr>
                <w:rFonts w:ascii="Times New Roman" w:hAnsi="Times New Roman"/>
                <w:sz w:val="17"/>
              </w:rPr>
              <w:t xml:space="preserve">-0.008 [-0.028, +0.013]*</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0.203</w:t>
            </w:r>
          </w:p>
        </w:tc>
        <w:tc>
          <w:tcPr/>
          <w:p>
            <w:pPr>
              <w:pStyle w:val="Compact"/>
              <w:spacing w:before="20" w:after="20" w:line="240" w:lineRule="auto"/>
              <w:ind w:firstLine="0"/>
              <w:jc w:val="left"/>
            </w:pPr>
            <w:r>
              <w:rPr>
                <w:rFonts w:ascii="Times New Roman" w:hAnsi="Times New Roman"/>
                <w:sz w:val="17"/>
              </w:rPr>
              <w:t xml:space="preserve">+0.037 [+0.012, +0.058]*</w:t>
            </w:r>
          </w:p>
        </w:tc>
        <w:tc>
          <w:tcPr/>
          <w:p>
            <w:pPr>
              <w:pStyle w:val="Compact"/>
              <w:spacing w:before="20" w:after="20" w:line="240" w:lineRule="auto"/>
              <w:ind w:firstLine="0"/>
              <w:jc w:val="left"/>
            </w:pPr>
            <w:r>
              <w:rPr>
                <w:rFonts w:ascii="Times New Roman" w:hAnsi="Times New Roman"/>
                <w:sz w:val="17"/>
              </w:rPr>
              <w:t xml:space="preserve">+0.035 [+0.010, +0.059]</w:t>
            </w:r>
          </w:p>
        </w:tc>
        <w:tc>
          <w:tcPr/>
          <w:p>
            <w:pPr>
              <w:pStyle w:val="Compact"/>
              <w:spacing w:before="20" w:after="20" w:line="240" w:lineRule="auto"/>
              <w:ind w:firstLine="0"/>
              <w:jc w:val="left"/>
            </w:pPr>
            <w:r>
              <w:rPr>
                <w:rFonts w:ascii="Times New Roman" w:hAnsi="Times New Roman"/>
                <w:sz w:val="17"/>
              </w:rPr>
              <w:t xml:space="preserve">+0.001 [-0.024, +0.026]*</w:t>
            </w:r>
          </w:p>
        </w:tc>
        <w:tc>
          <w:tcPr/>
          <w:p>
            <w:pPr>
              <w:pStyle w:val="Compact"/>
              <w:spacing w:before="20" w:after="20" w:line="240" w:lineRule="auto"/>
              <w:ind w:firstLine="0"/>
              <w:jc w:val="left"/>
            </w:pPr>
            <w:r>
              <w:rPr>
                <w:rFonts w:ascii="Times New Roman" w:hAnsi="Times New Roman"/>
                <w:sz w:val="17"/>
              </w:rPr>
              <w:t xml:space="preserve">1.18*</w:t>
            </w:r>
          </w:p>
        </w:tc>
        <w:tc>
          <w:tcPr/>
          <w:p>
            <w:pPr>
              <w:pStyle w:val="Compact"/>
              <w:spacing w:before="20" w:after="20" w:line="240" w:lineRule="auto"/>
              <w:ind w:firstLine="0"/>
              <w:jc w:val="left"/>
            </w:pPr>
            <w:r>
              <w:rPr>
                <w:rFonts w:ascii="Times New Roman" w:hAnsi="Times New Roman"/>
                <w:sz w:val="17"/>
              </w:rPr>
              <w:t xml:space="preserve">1.17*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0.069</w:t>
            </w:r>
          </w:p>
        </w:tc>
        <w:tc>
          <w:tcPr/>
          <w:p>
            <w:pPr>
              <w:pStyle w:val="Compact"/>
              <w:spacing w:before="20" w:after="20" w:line="240" w:lineRule="auto"/>
              <w:ind w:firstLine="0"/>
              <w:jc w:val="left"/>
            </w:pPr>
            <w:r>
              <w:rPr>
                <w:rFonts w:ascii="Times New Roman" w:hAnsi="Times New Roman"/>
                <w:sz w:val="17"/>
              </w:rPr>
              <w:t xml:space="preserve">+0.196 [+0.178, +0.213]*</w:t>
            </w:r>
          </w:p>
        </w:tc>
        <w:tc>
          <w:tcPr/>
          <w:p>
            <w:pPr>
              <w:pStyle w:val="Compact"/>
              <w:spacing w:before="20" w:after="20" w:line="240" w:lineRule="auto"/>
              <w:ind w:firstLine="0"/>
              <w:jc w:val="left"/>
            </w:pPr>
            <w:r>
              <w:rPr>
                <w:rFonts w:ascii="Times New Roman" w:hAnsi="Times New Roman"/>
                <w:sz w:val="17"/>
              </w:rPr>
              <w:t xml:space="preserve">+0.183 [+0.165, +0.200]*</w:t>
            </w:r>
          </w:p>
        </w:tc>
        <w:tc>
          <w:tcPr/>
          <w:p>
            <w:pPr>
              <w:pStyle w:val="Compact"/>
              <w:spacing w:before="20" w:after="20" w:line="240" w:lineRule="auto"/>
              <w:ind w:firstLine="0"/>
              <w:jc w:val="left"/>
            </w:pPr>
            <w:r>
              <w:rPr>
                <w:rFonts w:ascii="Times New Roman" w:hAnsi="Times New Roman"/>
                <w:sz w:val="17"/>
              </w:rPr>
              <w:t xml:space="preserve">+0.013 [-0.011, +0.036]</w:t>
            </w:r>
          </w:p>
        </w:tc>
        <w:tc>
          <w:tcPr/>
          <w:p>
            <w:pPr>
              <w:pStyle w:val="Compact"/>
              <w:spacing w:before="20" w:after="20" w:line="240" w:lineRule="auto"/>
              <w:ind w:firstLine="0"/>
              <w:jc w:val="left"/>
            </w:pPr>
            <w:r>
              <w:rPr>
                <w:rFonts w:ascii="Times New Roman" w:hAnsi="Times New Roman"/>
                <w:sz w:val="17"/>
              </w:rPr>
              <w:t xml:space="preserve">3.82*</w:t>
            </w:r>
          </w:p>
        </w:tc>
        <w:tc>
          <w:tcPr/>
          <w:p>
            <w:pPr>
              <w:pStyle w:val="Compact"/>
              <w:spacing w:before="20" w:after="20" w:line="240" w:lineRule="auto"/>
              <w:ind w:firstLine="0"/>
              <w:jc w:val="left"/>
            </w:pPr>
            <w:r>
              <w:rPr>
                <w:rFonts w:ascii="Times New Roman" w:hAnsi="Times New Roman"/>
                <w:sz w:val="17"/>
              </w:rPr>
              <w:t xml:space="preserve">3.63*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0.126</w:t>
            </w:r>
          </w:p>
        </w:tc>
        <w:tc>
          <w:tcPr/>
          <w:p>
            <w:pPr>
              <w:pStyle w:val="Compact"/>
              <w:spacing w:before="20" w:after="20" w:line="240" w:lineRule="auto"/>
              <w:ind w:firstLine="0"/>
              <w:jc w:val="left"/>
            </w:pPr>
            <w:r>
              <w:rPr>
                <w:rFonts w:ascii="Times New Roman" w:hAnsi="Times New Roman"/>
                <w:sz w:val="17"/>
              </w:rPr>
              <w:t xml:space="preserve">+0.050 [+0.035, +0.067]*</w:t>
            </w:r>
          </w:p>
        </w:tc>
        <w:tc>
          <w:tcPr/>
          <w:p>
            <w:pPr>
              <w:pStyle w:val="Compact"/>
              <w:spacing w:before="20" w:after="20" w:line="240" w:lineRule="auto"/>
              <w:ind w:firstLine="0"/>
              <w:jc w:val="left"/>
            </w:pPr>
            <w:r>
              <w:rPr>
                <w:rFonts w:ascii="Times New Roman" w:hAnsi="Times New Roman"/>
                <w:sz w:val="17"/>
              </w:rPr>
              <w:t xml:space="preserve">+0.044 [+0.029, +0.060]</w:t>
            </w:r>
          </w:p>
        </w:tc>
        <w:tc>
          <w:tcPr/>
          <w:p>
            <w:pPr>
              <w:pStyle w:val="Compact"/>
              <w:spacing w:before="20" w:after="20" w:line="240" w:lineRule="auto"/>
              <w:ind w:firstLine="0"/>
              <w:jc w:val="left"/>
            </w:pPr>
            <w:r>
              <w:rPr>
                <w:rFonts w:ascii="Times New Roman" w:hAnsi="Times New Roman"/>
                <w:sz w:val="17"/>
              </w:rPr>
              <w:t xml:space="preserve">+0.006 [-0.022, +0.033]</w:t>
            </w:r>
          </w:p>
        </w:tc>
        <w:tc>
          <w:tcPr/>
          <w:p>
            <w:pPr>
              <w:pStyle w:val="Compact"/>
              <w:spacing w:before="20" w:after="20" w:line="240" w:lineRule="auto"/>
              <w:ind w:firstLine="0"/>
              <w:jc w:val="left"/>
            </w:pPr>
            <w:r>
              <w:rPr>
                <w:rFonts w:ascii="Times New Roman" w:hAnsi="Times New Roman"/>
                <w:sz w:val="17"/>
              </w:rPr>
              <w:t xml:space="preserve">1.39*</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+0.062 [+0.053, +0.070]*</w:t>
            </w:r>
          </w:p>
        </w:tc>
        <w:tc>
          <w:tcPr/>
          <w:p>
            <w:pPr>
              <w:pStyle w:val="Compact"/>
              <w:spacing w:before="20" w:after="20" w:line="240" w:lineRule="auto"/>
              <w:ind w:firstLine="0"/>
              <w:jc w:val="left"/>
            </w:pPr>
            <w:r>
              <w:rPr>
                <w:rFonts w:ascii="Times New Roman" w:hAnsi="Times New Roman"/>
                <w:sz w:val="17"/>
              </w:rPr>
              <w:t xml:space="preserve">+0.054 [+0.046, +0.063]*</w:t>
            </w:r>
          </w:p>
        </w:tc>
        <w:tc>
          <w:tcPr/>
          <w:p>
            <w:pPr>
              <w:pStyle w:val="Compact"/>
              <w:spacing w:before="20" w:after="20" w:line="240" w:lineRule="auto"/>
              <w:ind w:firstLine="0"/>
              <w:jc w:val="left"/>
            </w:pPr>
            <w:r>
              <w:rPr>
                <w:rFonts w:ascii="Times New Roman" w:hAnsi="Times New Roman"/>
                <w:sz w:val="17"/>
              </w:rPr>
              <w:t xml:space="preserve">+0.008 [-0.007, +0.021]*</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1.54*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0.235</w:t>
            </w:r>
          </w:p>
        </w:tc>
        <w:tc>
          <w:tcPr/>
          <w:p>
            <w:pPr>
              <w:pStyle w:val="Compact"/>
              <w:spacing w:before="20" w:after="20" w:line="240" w:lineRule="auto"/>
              <w:ind w:firstLine="0"/>
              <w:jc w:val="left"/>
            </w:pPr>
            <w:r>
              <w:rPr>
                <w:rFonts w:ascii="Times New Roman" w:hAnsi="Times New Roman"/>
                <w:sz w:val="17"/>
              </w:rPr>
              <w:t xml:space="preserve">+0.080 [+0.058, +0.100]</w:t>
            </w:r>
          </w:p>
        </w:tc>
        <w:tc>
          <w:tcPr/>
          <w:p>
            <w:pPr>
              <w:pStyle w:val="Compact"/>
              <w:spacing w:before="20" w:after="20" w:line="240" w:lineRule="auto"/>
              <w:ind w:firstLine="0"/>
              <w:jc w:val="left"/>
            </w:pPr>
            <w:r>
              <w:rPr>
                <w:rFonts w:ascii="Times New Roman" w:hAnsi="Times New Roman"/>
                <w:sz w:val="17"/>
              </w:rPr>
              <w:t xml:space="preserve">+0.075 [+0.053, +0.095]*</w:t>
            </w:r>
          </w:p>
        </w:tc>
        <w:tc>
          <w:tcPr/>
          <w:p>
            <w:pPr>
              <w:pStyle w:val="Compact"/>
              <w:spacing w:before="20" w:after="20" w:line="240" w:lineRule="auto"/>
              <w:ind w:firstLine="0"/>
              <w:jc w:val="left"/>
            </w:pPr>
            <w:r>
              <w:rPr>
                <w:rFonts w:ascii="Times New Roman" w:hAnsi="Times New Roman"/>
                <w:sz w:val="17"/>
              </w:rPr>
              <w:t xml:space="preserve">+0.005 [-0.033, +0.043]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visit</w:t>
            </w:r>
          </w:p>
        </w:tc>
        <w:tc>
          <w:tcPr/>
          <w:p>
            <w:pPr>
              <w:pStyle w:val="Compact"/>
              <w:spacing w:before="20" w:after="20" w:line="240" w:lineRule="auto"/>
              <w:ind w:firstLine="0"/>
              <w:jc w:val="left"/>
            </w:pPr>
            <w:r>
              <w:rPr>
                <w:rFonts w:ascii="Times New Roman" w:hAnsi="Times New Roman"/>
                <w:sz w:val="17"/>
              </w:rPr>
              <w:t xml:space="preserve">0.100</w:t>
            </w:r>
          </w:p>
        </w:tc>
        <w:tc>
          <w:tcPr/>
          <w:p>
            <w:pPr>
              <w:pStyle w:val="Compact"/>
              <w:spacing w:before="20" w:after="20" w:line="240" w:lineRule="auto"/>
              <w:ind w:firstLine="0"/>
              <w:jc w:val="left"/>
            </w:pPr>
            <w:r>
              <w:rPr>
                <w:rFonts w:ascii="Times New Roman" w:hAnsi="Times New Roman"/>
                <w:sz w:val="17"/>
              </w:rPr>
              <w:t xml:space="preserve">+0.038 [+0.029, +0.049]*</w:t>
            </w:r>
          </w:p>
        </w:tc>
        <w:tc>
          <w:tcPr/>
          <w:p>
            <w:pPr>
              <w:pStyle w:val="Compact"/>
              <w:spacing w:before="20" w:after="20" w:line="240" w:lineRule="auto"/>
              <w:ind w:firstLine="0"/>
              <w:jc w:val="left"/>
            </w:pPr>
            <w:r>
              <w:rPr>
                <w:rFonts w:ascii="Times New Roman" w:hAnsi="Times New Roman"/>
                <w:sz w:val="17"/>
              </w:rPr>
              <w:t xml:space="preserve">+0.030 [+0.021, +0.040]*</w:t>
            </w:r>
          </w:p>
        </w:tc>
        <w:tc>
          <w:tcPr/>
          <w:p>
            <w:pPr>
              <w:pStyle w:val="Compact"/>
              <w:spacing w:before="20" w:after="20" w:line="240" w:lineRule="auto"/>
              <w:ind w:firstLine="0"/>
              <w:jc w:val="left"/>
            </w:pPr>
            <w:r>
              <w:rPr>
                <w:rFonts w:ascii="Times New Roman" w:hAnsi="Times New Roman"/>
                <w:sz w:val="17"/>
              </w:rPr>
              <w:t xml:space="preserve">+0.008 [-0.008, +0.024]*</w:t>
            </w:r>
          </w:p>
        </w:tc>
        <w:tc>
          <w:tcPr/>
          <w:p>
            <w:pPr>
              <w:pStyle w:val="Compact"/>
              <w:spacing w:before="20" w:after="20" w:line="240" w:lineRule="auto"/>
              <w:ind w:firstLine="0"/>
              <w:jc w:val="left"/>
            </w:pPr>
            <w:r>
              <w:rPr>
                <w:rFonts w:ascii="Times New Roman" w:hAnsi="Times New Roman"/>
                <w:sz w:val="17"/>
              </w:rPr>
              <w:t xml:space="preserve">1.38*</w:t>
            </w:r>
          </w:p>
        </w:tc>
        <w:tc>
          <w:tcPr/>
          <w:p>
            <w:pPr>
              <w:pStyle w:val="Compact"/>
              <w:spacing w:before="20" w:after="20" w:line="240" w:lineRule="auto"/>
              <w:ind w:firstLine="0"/>
              <w:jc w:val="left"/>
            </w:pPr>
            <w:r>
              <w:rPr>
                <w:rFonts w:ascii="Times New Roman" w:hAnsi="Times New Roman"/>
                <w:sz w:val="17"/>
              </w:rPr>
              <w:t xml:space="preserve">1.30*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0.155</w:t>
            </w:r>
          </w:p>
        </w:tc>
        <w:tc>
          <w:tcPr/>
          <w:p>
            <w:pPr>
              <w:pStyle w:val="Compact"/>
              <w:spacing w:before="20" w:after="20" w:line="240" w:lineRule="auto"/>
              <w:ind w:firstLine="0"/>
              <w:jc w:val="left"/>
            </w:pPr>
            <w:r>
              <w:rPr>
                <w:rFonts w:ascii="Times New Roman" w:hAnsi="Times New Roman"/>
                <w:sz w:val="17"/>
              </w:rPr>
              <w:t xml:space="preserve">+0.169 [+0.155, +0.184]*</w:t>
            </w:r>
          </w:p>
        </w:tc>
        <w:tc>
          <w:tcPr/>
          <w:p>
            <w:pPr>
              <w:pStyle w:val="Compact"/>
              <w:spacing w:before="20" w:after="20" w:line="240" w:lineRule="auto"/>
              <w:ind w:firstLine="0"/>
              <w:jc w:val="left"/>
            </w:pPr>
            <w:r>
              <w:rPr>
                <w:rFonts w:ascii="Times New Roman" w:hAnsi="Times New Roman"/>
                <w:sz w:val="17"/>
              </w:rPr>
              <w:t xml:space="preserve">+0.201 [+0.187, +0.214]*</w:t>
            </w:r>
          </w:p>
        </w:tc>
        <w:tc>
          <w:tcPr/>
          <w:p>
            <w:pPr>
              <w:pStyle w:val="Compact"/>
              <w:spacing w:before="20" w:after="20" w:line="240" w:lineRule="auto"/>
              <w:ind w:firstLine="0"/>
              <w:jc w:val="left"/>
            </w:pPr>
            <w:r>
              <w:rPr>
                <w:rFonts w:ascii="Times New Roman" w:hAnsi="Times New Roman"/>
                <w:sz w:val="17"/>
              </w:rPr>
              <w:t xml:space="preserve">-0.032 [-0.056, -0.005]*</w:t>
            </w:r>
          </w:p>
        </w:tc>
        <w:tc>
          <w:tcPr/>
          <w:p>
            <w:pPr>
              <w:pStyle w:val="Compact"/>
              <w:spacing w:before="20" w:after="20" w:line="240" w:lineRule="auto"/>
              <w:ind w:firstLine="0"/>
              <w:jc w:val="left"/>
            </w:pPr>
            <w:r>
              <w:rPr>
                <w:rFonts w:ascii="Times New Roman" w:hAnsi="Times New Roman"/>
                <w:sz w:val="17"/>
              </w:rPr>
              <w:t xml:space="preserve">2.09</w:t>
            </w:r>
          </w:p>
        </w:tc>
        <w:tc>
          <w:tcPr/>
          <w:p>
            <w:pPr>
              <w:pStyle w:val="Compact"/>
              <w:spacing w:before="20" w:after="20" w:line="240" w:lineRule="auto"/>
              <w:ind w:firstLine="0"/>
              <w:jc w:val="left"/>
            </w:pPr>
            <w:r>
              <w:rPr>
                <w:rFonts w:ascii="Times New Roman" w:hAnsi="Times New Roman"/>
                <w:sz w:val="17"/>
              </w:rPr>
              <w:t xml:space="preserve">2.30*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0.064</w:t>
            </w:r>
          </w:p>
        </w:tc>
        <w:tc>
          <w:tcPr/>
          <w:p>
            <w:pPr>
              <w:pStyle w:val="Compact"/>
              <w:spacing w:before="20" w:after="20" w:line="240" w:lineRule="auto"/>
              <w:ind w:firstLine="0"/>
              <w:jc w:val="left"/>
            </w:pPr>
            <w:r>
              <w:rPr>
                <w:rFonts w:ascii="Times New Roman" w:hAnsi="Times New Roman"/>
                <w:sz w:val="17"/>
              </w:rPr>
              <w:t xml:space="preserve">+0.026 [+0.021, +0.030]*</w:t>
            </w:r>
          </w:p>
        </w:tc>
        <w:tc>
          <w:tcPr/>
          <w:p>
            <w:pPr>
              <w:pStyle w:val="Compact"/>
              <w:spacing w:before="20" w:after="20" w:line="240" w:lineRule="auto"/>
              <w:ind w:firstLine="0"/>
              <w:jc w:val="left"/>
            </w:pPr>
            <w:r>
              <w:rPr>
                <w:rFonts w:ascii="Times New Roman" w:hAnsi="Times New Roman"/>
                <w:sz w:val="17"/>
              </w:rPr>
              <w:t xml:space="preserve">+0.048 [+0.044, +0.053]*</w:t>
            </w:r>
          </w:p>
        </w:tc>
        <w:tc>
          <w:tcPr/>
          <w:p>
            <w:pPr>
              <w:pStyle w:val="Compact"/>
              <w:spacing w:before="20" w:after="20" w:line="240" w:lineRule="auto"/>
              <w:ind w:firstLine="0"/>
              <w:jc w:val="left"/>
            </w:pPr>
            <w:r>
              <w:rPr>
                <w:rFonts w:ascii="Times New Roman" w:hAnsi="Times New Roman"/>
                <w:sz w:val="17"/>
              </w:rPr>
              <w:t xml:space="preserve">-0.023 [-0.029, -0.018]*</w:t>
            </w:r>
          </w:p>
        </w:tc>
        <w:tc>
          <w:tcPr/>
          <w:p>
            <w:pPr>
              <w:pStyle w:val="Compact"/>
              <w:spacing w:before="20" w:after="20" w:line="240" w:lineRule="auto"/>
              <w:ind w:firstLine="0"/>
              <w:jc w:val="left"/>
            </w:pPr>
            <w:r>
              <w:rPr>
                <w:rFonts w:ascii="Times New Roman" w:hAnsi="Times New Roman"/>
                <w:sz w:val="17"/>
              </w:rPr>
              <w:t xml:space="preserve">1.40*</w:t>
            </w:r>
          </w:p>
        </w:tc>
        <w:tc>
          <w:tcPr/>
          <w:p>
            <w:pPr>
              <w:pStyle w:val="Compact"/>
              <w:spacing w:before="20" w:after="20" w:line="240" w:lineRule="auto"/>
              <w:ind w:firstLine="0"/>
              <w:jc w:val="left"/>
            </w:pPr>
            <w:r>
              <w:rPr>
                <w:rFonts w:ascii="Times New Roman" w:hAnsi="Times New Roman"/>
                <w:sz w:val="17"/>
              </w:rPr>
              <w:t xml:space="preserve">1.75*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0.087</w:t>
            </w:r>
          </w:p>
        </w:tc>
        <w:tc>
          <w:tcPr/>
          <w:p>
            <w:pPr>
              <w:pStyle w:val="Compact"/>
              <w:spacing w:before="20" w:after="20" w:line="240" w:lineRule="auto"/>
              <w:ind w:firstLine="0"/>
              <w:jc w:val="left"/>
            </w:pPr>
            <w:r>
              <w:rPr>
                <w:rFonts w:ascii="Times New Roman" w:hAnsi="Times New Roman"/>
                <w:sz w:val="17"/>
              </w:rPr>
              <w:t xml:space="preserve">+0.154 [+0.141, +0.168]*</w:t>
            </w:r>
          </w:p>
        </w:tc>
        <w:tc>
          <w:tcPr/>
          <w:p>
            <w:pPr>
              <w:pStyle w:val="Compact"/>
              <w:spacing w:before="20" w:after="20" w:line="240" w:lineRule="auto"/>
              <w:ind w:firstLine="0"/>
              <w:jc w:val="left"/>
            </w:pPr>
            <w:r>
              <w:rPr>
                <w:rFonts w:ascii="Times New Roman" w:hAnsi="Times New Roman"/>
                <w:sz w:val="17"/>
              </w:rPr>
              <w:t xml:space="preserve">+0.167 [+0.153, +0.182]*</w:t>
            </w:r>
          </w:p>
        </w:tc>
        <w:tc>
          <w:tcPr/>
          <w:p>
            <w:pPr>
              <w:pStyle w:val="Compact"/>
              <w:spacing w:before="20" w:after="20" w:line="240" w:lineRule="auto"/>
              <w:ind w:firstLine="0"/>
              <w:jc w:val="left"/>
            </w:pPr>
            <w:r>
              <w:rPr>
                <w:rFonts w:ascii="Times New Roman" w:hAnsi="Times New Roman"/>
                <w:sz w:val="17"/>
              </w:rPr>
              <w:t xml:space="preserve">-0.013 [-0.039, +0.011]</w:t>
            </w:r>
          </w:p>
        </w:tc>
        <w:tc>
          <w:tcPr/>
          <w:p>
            <w:pPr>
              <w:pStyle w:val="Compact"/>
              <w:spacing w:before="20" w:after="20" w:line="240" w:lineRule="auto"/>
              <w:ind w:firstLine="0"/>
              <w:jc w:val="left"/>
            </w:pPr>
            <w:r>
              <w:rPr>
                <w:rFonts w:ascii="Times New Roman" w:hAnsi="Times New Roman"/>
                <w:sz w:val="17"/>
              </w:rPr>
              <w:t xml:space="preserve">2.78*</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0.004</w:t>
            </w:r>
          </w:p>
        </w:tc>
        <w:tc>
          <w:tcPr/>
          <w:p>
            <w:pPr>
              <w:pStyle w:val="Compact"/>
              <w:spacing w:before="20" w:after="20" w:line="240" w:lineRule="auto"/>
              <w:ind w:firstLine="0"/>
              <w:jc w:val="left"/>
            </w:pPr>
            <w:r>
              <w:rPr>
                <w:rFonts w:ascii="Times New Roman" w:hAnsi="Times New Roman"/>
                <w:sz w:val="17"/>
              </w:rPr>
              <w:t xml:space="preserve">+0.149 [+0.137, +0.162]*</w:t>
            </w:r>
          </w:p>
        </w:tc>
        <w:tc>
          <w:tcPr/>
          <w:p>
            <w:pPr>
              <w:pStyle w:val="Compact"/>
              <w:spacing w:before="20" w:after="20" w:line="240" w:lineRule="auto"/>
              <w:ind w:firstLine="0"/>
              <w:jc w:val="left"/>
            </w:pPr>
            <w:r>
              <w:rPr>
                <w:rFonts w:ascii="Times New Roman" w:hAnsi="Times New Roman"/>
                <w:sz w:val="17"/>
              </w:rPr>
              <w:t xml:space="preserve">+0.161 [+0.148, +0.175]*</w:t>
            </w:r>
          </w:p>
        </w:tc>
        <w:tc>
          <w:tcPr/>
          <w:p>
            <w:pPr>
              <w:pStyle w:val="Compact"/>
              <w:spacing w:before="20" w:after="20" w:line="240" w:lineRule="auto"/>
              <w:ind w:firstLine="0"/>
              <w:jc w:val="left"/>
            </w:pPr>
            <w:r>
              <w:rPr>
                <w:rFonts w:ascii="Times New Roman" w:hAnsi="Times New Roman"/>
                <w:sz w:val="17"/>
              </w:rPr>
              <w:t xml:space="preserve">-0.012 [-0.034, +0.011]</w:t>
            </w:r>
          </w:p>
        </w:tc>
        <w:tc>
          <w:tcPr/>
          <w:p>
            <w:pPr>
              <w:pStyle w:val="Compact"/>
              <w:spacing w:before="20" w:after="20" w:line="240" w:lineRule="auto"/>
              <w:ind w:firstLine="0"/>
              <w:jc w:val="left"/>
            </w:pPr>
            <w:r>
              <w:rPr>
                <w:rFonts w:ascii="Times New Roman" w:hAnsi="Times New Roman"/>
                <w:sz w:val="17"/>
              </w:rPr>
              <w:t xml:space="preserve">43.83*</w:t>
            </w:r>
          </w:p>
        </w:tc>
        <w:tc>
          <w:tcPr/>
          <w:p>
            <w:pPr>
              <w:pStyle w:val="Compact"/>
              <w:spacing w:before="20" w:after="20" w:line="240" w:lineRule="auto"/>
              <w:ind w:firstLine="0"/>
              <w:jc w:val="left"/>
            </w:pPr>
            <w:r>
              <w:rPr>
                <w:rFonts w:ascii="Times New Roman" w:hAnsi="Times New Roman"/>
                <w:sz w:val="17"/>
              </w:rPr>
              <w:t xml:space="preserve">47.87*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0.096</w:t>
            </w:r>
          </w:p>
        </w:tc>
        <w:tc>
          <w:tcPr/>
          <w:p>
            <w:pPr>
              <w:pStyle w:val="Compact"/>
              <w:spacing w:before="20" w:after="20" w:line="240" w:lineRule="auto"/>
              <w:ind w:firstLine="0"/>
              <w:jc w:val="left"/>
            </w:pPr>
            <w:r>
              <w:rPr>
                <w:rFonts w:ascii="Times New Roman" w:hAnsi="Times New Roman"/>
                <w:sz w:val="17"/>
              </w:rPr>
              <w:t xml:space="preserve">+0.047 [+0.041, +0.053]*</w:t>
            </w:r>
          </w:p>
        </w:tc>
        <w:tc>
          <w:tcPr/>
          <w:p>
            <w:pPr>
              <w:pStyle w:val="Compact"/>
              <w:spacing w:before="20" w:after="20" w:line="240" w:lineRule="auto"/>
              <w:ind w:firstLine="0"/>
              <w:jc w:val="left"/>
            </w:pPr>
            <w:r>
              <w:rPr>
                <w:rFonts w:ascii="Times New Roman" w:hAnsi="Times New Roman"/>
                <w:sz w:val="17"/>
              </w:rPr>
              <w:t xml:space="preserve">+0.054 [+0.049, +0.060]*</w:t>
            </w:r>
          </w:p>
        </w:tc>
        <w:tc>
          <w:tcPr/>
          <w:p>
            <w:pPr>
              <w:pStyle w:val="Compact"/>
              <w:spacing w:before="20" w:after="20" w:line="240" w:lineRule="auto"/>
              <w:ind w:firstLine="0"/>
              <w:jc w:val="left"/>
            </w:pPr>
            <w:r>
              <w:rPr>
                <w:rFonts w:ascii="Times New Roman" w:hAnsi="Times New Roman"/>
                <w:sz w:val="17"/>
              </w:rPr>
              <w:t xml:space="preserve">-0.008 [-0.017, +0.002]*</w:t>
            </w:r>
          </w:p>
        </w:tc>
        <w:tc>
          <w:tcPr/>
          <w:p>
            <w:pPr>
              <w:pStyle w:val="Compact"/>
              <w:spacing w:before="20" w:after="20" w:line="240" w:lineRule="auto"/>
              <w:ind w:firstLine="0"/>
              <w:jc w:val="left"/>
            </w:pPr>
            <w:r>
              <w:rPr>
                <w:rFonts w:ascii="Times New Roman" w:hAnsi="Times New Roman"/>
                <w:sz w:val="17"/>
              </w:rPr>
              <w:t xml:space="preserve">1.49*</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+0.110 [+0.104, +0.116]*</w:t>
            </w:r>
          </w:p>
        </w:tc>
        <w:tc>
          <w:tcPr/>
          <w:p>
            <w:pPr>
              <w:pStyle w:val="Compact"/>
              <w:spacing w:before="20" w:after="20" w:line="240" w:lineRule="auto"/>
              <w:ind w:firstLine="0"/>
              <w:jc w:val="left"/>
            </w:pPr>
            <w:r>
              <w:rPr>
                <w:rFonts w:ascii="Times New Roman" w:hAnsi="Times New Roman"/>
                <w:sz w:val="17"/>
              </w:rPr>
              <w:t xml:space="preserve">+0.120 [+0.113, +0.126]*</w:t>
            </w:r>
          </w:p>
        </w:tc>
        <w:tc>
          <w:tcPr/>
          <w:p>
            <w:pPr>
              <w:pStyle w:val="Compact"/>
              <w:spacing w:before="20" w:after="20" w:line="240" w:lineRule="auto"/>
              <w:ind w:firstLine="0"/>
              <w:jc w:val="left"/>
            </w:pPr>
            <w:r>
              <w:rPr>
                <w:rFonts w:ascii="Times New Roman" w:hAnsi="Times New Roman"/>
                <w:sz w:val="17"/>
              </w:rPr>
              <w:t xml:space="preserve">-0.010 [-0.019, -0.000]*</w:t>
            </w:r>
          </w:p>
        </w:tc>
        <w:tc>
          <w:tcPr/>
          <w:p>
            <w:pPr>
              <w:pStyle w:val="Compact"/>
              <w:spacing w:before="20" w:after="20" w:line="240" w:lineRule="auto"/>
              <w:ind w:firstLine="0"/>
              <w:jc w:val="left"/>
            </w:pPr>
            <w:r>
              <w:rPr>
                <w:rFonts w:ascii="Times New Roman" w:hAnsi="Times New Roman"/>
                <w:sz w:val="17"/>
              </w:rPr>
              <w:t xml:space="preserve">15.80*</w:t>
            </w:r>
          </w:p>
        </w:tc>
        <w:tc>
          <w:tcPr/>
          <w:p>
            <w:pPr>
              <w:pStyle w:val="Compact"/>
              <w:spacing w:before="20" w:after="20" w:line="240" w:lineRule="auto"/>
              <w:ind w:firstLine="0"/>
              <w:jc w:val="left"/>
            </w:pPr>
            <w:r>
              <w:rPr>
                <w:rFonts w:ascii="Times New Roman" w:hAnsi="Times New Roman"/>
                <w:sz w:val="17"/>
              </w:rPr>
              <w:t xml:space="preserve">17.02*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0.094</w:t>
            </w:r>
          </w:p>
        </w:tc>
        <w:tc>
          <w:tcPr/>
          <w:p>
            <w:pPr>
              <w:pStyle w:val="Compact"/>
              <w:spacing w:before="20" w:after="20" w:line="240" w:lineRule="auto"/>
              <w:ind w:firstLine="0"/>
              <w:jc w:val="left"/>
            </w:pPr>
            <w:r>
              <w:rPr>
                <w:rFonts w:ascii="Times New Roman" w:hAnsi="Times New Roman"/>
                <w:sz w:val="17"/>
              </w:rPr>
              <w:t xml:space="preserve">+0.050 [+0.040, +0.060]*</w:t>
            </w:r>
          </w:p>
        </w:tc>
        <w:tc>
          <w:tcPr/>
          <w:p>
            <w:pPr>
              <w:pStyle w:val="Compact"/>
              <w:spacing w:before="20" w:after="20" w:line="240" w:lineRule="auto"/>
              <w:ind w:firstLine="0"/>
              <w:jc w:val="left"/>
            </w:pPr>
            <w:r>
              <w:rPr>
                <w:rFonts w:ascii="Times New Roman" w:hAnsi="Times New Roman"/>
                <w:sz w:val="17"/>
              </w:rPr>
              <w:t xml:space="preserve">+0.054 [+0.045, +0.063]*</w:t>
            </w:r>
          </w:p>
        </w:tc>
        <w:tc>
          <w:tcPr/>
          <w:p>
            <w:pPr>
              <w:pStyle w:val="Compact"/>
              <w:spacing w:before="20" w:after="20" w:line="240" w:lineRule="auto"/>
              <w:ind w:firstLine="0"/>
              <w:jc w:val="left"/>
            </w:pPr>
            <w:r>
              <w:rPr>
                <w:rFonts w:ascii="Times New Roman" w:hAnsi="Times New Roman"/>
                <w:sz w:val="17"/>
              </w:rPr>
              <w:t xml:space="preserve">-0.004 [-0.020, +0.012]</w:t>
            </w:r>
          </w:p>
        </w:tc>
        <w:tc>
          <w:tcPr/>
          <w:p>
            <w:pPr>
              <w:pStyle w:val="Compact"/>
              <w:spacing w:before="20" w:after="20" w:line="240" w:lineRule="auto"/>
              <w:ind w:firstLine="0"/>
              <w:jc w:val="left"/>
            </w:pPr>
            <w:r>
              <w:rPr>
                <w:rFonts w:ascii="Times New Roman" w:hAnsi="Times New Roman"/>
                <w:sz w:val="17"/>
              </w:rPr>
              <w:t xml:space="preserve">1.53*</w:t>
            </w:r>
          </w:p>
        </w:tc>
        <w:tc>
          <w:tcPr/>
          <w:p>
            <w:pPr>
              <w:pStyle w:val="Compact"/>
              <w:spacing w:before="20" w:after="20" w:line="240" w:lineRule="auto"/>
              <w:ind w:firstLine="0"/>
              <w:jc w:val="left"/>
            </w:pPr>
            <w:r>
              <w:rPr>
                <w:rFonts w:ascii="Times New Roman" w:hAnsi="Times New Roman"/>
                <w:sz w:val="17"/>
              </w:rPr>
              <w:t xml:space="preserve">1.57</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0.046</w:t>
            </w:r>
          </w:p>
        </w:tc>
        <w:tc>
          <w:tcPr/>
          <w:p>
            <w:pPr>
              <w:pStyle w:val="Compact"/>
              <w:spacing w:before="20" w:after="20" w:line="240" w:lineRule="auto"/>
              <w:ind w:firstLine="0"/>
              <w:jc w:val="left"/>
            </w:pPr>
            <w:r>
              <w:rPr>
                <w:rFonts w:ascii="Times New Roman" w:hAnsi="Times New Roman"/>
                <w:sz w:val="17"/>
              </w:rPr>
              <w:t xml:space="preserve">+0.004 [-0.002, +0.010]</w:t>
            </w:r>
          </w:p>
        </w:tc>
        <w:tc>
          <w:tcPr/>
          <w:p>
            <w:pPr>
              <w:pStyle w:val="Compact"/>
              <w:spacing w:before="20" w:after="20" w:line="240" w:lineRule="auto"/>
              <w:ind w:firstLine="0"/>
              <w:jc w:val="left"/>
            </w:pPr>
            <w:r>
              <w:rPr>
                <w:rFonts w:ascii="Times New Roman" w:hAnsi="Times New Roman"/>
                <w:sz w:val="17"/>
              </w:rPr>
              <w:t xml:space="preserve">+0.006 [-0.001, +0.013]</w:t>
            </w:r>
          </w:p>
        </w:tc>
        <w:tc>
          <w:tcPr/>
          <w:p>
            <w:pPr>
              <w:pStyle w:val="Compact"/>
              <w:spacing w:before="20" w:after="20" w:line="240" w:lineRule="auto"/>
              <w:ind w:firstLine="0"/>
              <w:jc w:val="left"/>
            </w:pPr>
            <w:r>
              <w:rPr>
                <w:rFonts w:ascii="Times New Roman" w:hAnsi="Times New Roman"/>
                <w:sz w:val="17"/>
              </w:rPr>
              <w:t xml:space="preserve">-0.002 [-0.011, +0.007]</w:t>
            </w:r>
          </w:p>
        </w:tc>
        <w:tc>
          <w:tcPr/>
          <w:p>
            <w:pPr>
              <w:pStyle w:val="Compact"/>
              <w:spacing w:before="20" w:after="20" w:line="240" w:lineRule="auto"/>
              <w:ind w:firstLine="0"/>
              <w:jc w:val="left"/>
            </w:pPr>
            <w:r>
              <w:rPr>
                <w:rFonts w:ascii="Times New Roman" w:hAnsi="Times New Roman"/>
                <w:sz w:val="17"/>
              </w:rPr>
              <w:t xml:space="preserve">1.09*</w:t>
            </w:r>
          </w:p>
        </w:tc>
        <w:tc>
          <w:tcPr/>
          <w:p>
            <w:pPr>
              <w:pStyle w:val="Compact"/>
              <w:spacing w:before="20" w:after="20" w:line="240" w:lineRule="auto"/>
              <w:ind w:firstLine="0"/>
              <w:jc w:val="left"/>
            </w:pPr>
            <w:r>
              <w:rPr>
                <w:rFonts w:ascii="Times New Roman" w:hAnsi="Times New Roman"/>
                <w:sz w:val="17"/>
              </w:rPr>
              <w:t xml:space="preserve">1.14*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0.073</w:t>
            </w:r>
          </w:p>
        </w:tc>
        <w:tc>
          <w:tcPr/>
          <w:p>
            <w:pPr>
              <w:pStyle w:val="Compact"/>
              <w:spacing w:before="20" w:after="20" w:line="240" w:lineRule="auto"/>
              <w:ind w:firstLine="0"/>
              <w:jc w:val="left"/>
            </w:pPr>
            <w:r>
              <w:rPr>
                <w:rFonts w:ascii="Times New Roman" w:hAnsi="Times New Roman"/>
                <w:sz w:val="17"/>
              </w:rPr>
              <w:t xml:space="preserve">+0.115 [+0.103, +0.128]*</w:t>
            </w:r>
          </w:p>
        </w:tc>
        <w:tc>
          <w:tcPr/>
          <w:p>
            <w:pPr>
              <w:pStyle w:val="Compact"/>
              <w:spacing w:before="20" w:after="20" w:line="240" w:lineRule="auto"/>
              <w:ind w:firstLine="0"/>
              <w:jc w:val="left"/>
            </w:pPr>
            <w:r>
              <w:rPr>
                <w:rFonts w:ascii="Times New Roman" w:hAnsi="Times New Roman"/>
                <w:sz w:val="17"/>
              </w:rPr>
              <w:t xml:space="preserve">+0.106 [+0.095, +0.117]*</w:t>
            </w:r>
          </w:p>
        </w:tc>
        <w:tc>
          <w:tcPr/>
          <w:p>
            <w:pPr>
              <w:pStyle w:val="Compact"/>
              <w:spacing w:before="20" w:after="20" w:line="240" w:lineRule="auto"/>
              <w:ind w:firstLine="0"/>
              <w:jc w:val="left"/>
            </w:pPr>
            <w:r>
              <w:rPr>
                <w:rFonts w:ascii="Times New Roman" w:hAnsi="Times New Roman"/>
                <w:sz w:val="17"/>
              </w:rPr>
              <w:t xml:space="preserve">+0.009 [-0.010, +0.027]</w:t>
            </w:r>
          </w:p>
        </w:tc>
        <w:tc>
          <w:tcPr/>
          <w:p>
            <w:pPr>
              <w:pStyle w:val="Compact"/>
              <w:spacing w:before="20" w:after="20" w:line="240" w:lineRule="auto"/>
              <w:ind w:firstLine="0"/>
              <w:jc w:val="left"/>
            </w:pPr>
            <w:r>
              <w:rPr>
                <w:rFonts w:ascii="Times New Roman" w:hAnsi="Times New Roman"/>
                <w:sz w:val="17"/>
              </w:rPr>
              <w:t xml:space="preserve">2.58*</w:t>
            </w:r>
          </w:p>
        </w:tc>
        <w:tc>
          <w:tcPr/>
          <w:p>
            <w:pPr>
              <w:pStyle w:val="Compact"/>
              <w:spacing w:before="20" w:after="20" w:line="240" w:lineRule="auto"/>
              <w:ind w:firstLine="0"/>
              <w:jc w:val="left"/>
            </w:pPr>
            <w:r>
              <w:rPr>
                <w:rFonts w:ascii="Times New Roman" w:hAnsi="Times New Roman"/>
                <w:sz w:val="17"/>
              </w:rPr>
              <w:t xml:space="preserve">2.45*</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0.008</w:t>
            </w:r>
          </w:p>
        </w:tc>
        <w:tc>
          <w:tcPr/>
          <w:p>
            <w:pPr>
              <w:pStyle w:val="Compact"/>
              <w:spacing w:before="20" w:after="20" w:line="240" w:lineRule="auto"/>
              <w:ind w:firstLine="0"/>
              <w:jc w:val="left"/>
            </w:pPr>
            <w:r>
              <w:rPr>
                <w:rFonts w:ascii="Times New Roman" w:hAnsi="Times New Roman"/>
                <w:sz w:val="17"/>
              </w:rPr>
              <w:t xml:space="preserve">+0.017 [+0.013, +0.020]*</w:t>
            </w:r>
          </w:p>
        </w:tc>
        <w:tc>
          <w:tcPr/>
          <w:p>
            <w:pPr>
              <w:pStyle w:val="Compact"/>
              <w:spacing w:before="20" w:after="20" w:line="240" w:lineRule="auto"/>
              <w:ind w:firstLine="0"/>
              <w:jc w:val="left"/>
            </w:pPr>
            <w:r>
              <w:rPr>
                <w:rFonts w:ascii="Times New Roman" w:hAnsi="Times New Roman"/>
                <w:sz w:val="17"/>
              </w:rPr>
              <w:t xml:space="preserve">+0.016 [+0.013, +0.019]*</w:t>
            </w:r>
          </w:p>
        </w:tc>
        <w:tc>
          <w:tcPr/>
          <w:p>
            <w:pPr>
              <w:pStyle w:val="Compact"/>
              <w:spacing w:before="20" w:after="20" w:line="240" w:lineRule="auto"/>
              <w:ind w:firstLine="0"/>
              <w:jc w:val="left"/>
            </w:pPr>
            <w:r>
              <w:rPr>
                <w:rFonts w:ascii="Times New Roman" w:hAnsi="Times New Roman"/>
                <w:sz w:val="17"/>
              </w:rPr>
              <w:t xml:space="preserve">+0.001 [-0.005, +0.006]</w:t>
            </w:r>
          </w:p>
        </w:tc>
        <w:tc>
          <w:tcPr/>
          <w:p>
            <w:pPr>
              <w:pStyle w:val="Compact"/>
              <w:spacing w:before="20" w:after="20" w:line="240" w:lineRule="auto"/>
              <w:ind w:firstLine="0"/>
              <w:jc w:val="left"/>
            </w:pPr>
            <w:r>
              <w:rPr>
                <w:rFonts w:ascii="Times New Roman" w:hAnsi="Times New Roman"/>
                <w:sz w:val="17"/>
              </w:rPr>
              <w:t xml:space="preserve">3.15*</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0.103</w:t>
            </w:r>
          </w:p>
        </w:tc>
        <w:tc>
          <w:tcPr/>
          <w:p>
            <w:pPr>
              <w:pStyle w:val="Compact"/>
              <w:spacing w:before="20" w:after="20" w:line="240" w:lineRule="auto"/>
              <w:ind w:firstLine="0"/>
              <w:jc w:val="left"/>
            </w:pPr>
            <w:r>
              <w:rPr>
                <w:rFonts w:ascii="Times New Roman" w:hAnsi="Times New Roman"/>
                <w:sz w:val="17"/>
              </w:rPr>
              <w:t xml:space="preserve">+0.028 [+0.010, +0.045]*</w:t>
            </w:r>
          </w:p>
        </w:tc>
        <w:tc>
          <w:tcPr/>
          <w:p>
            <w:pPr>
              <w:pStyle w:val="Compact"/>
              <w:spacing w:before="20" w:after="20" w:line="240" w:lineRule="auto"/>
              <w:ind w:firstLine="0"/>
              <w:jc w:val="left"/>
            </w:pPr>
            <w:r>
              <w:rPr>
                <w:rFonts w:ascii="Times New Roman" w:hAnsi="Times New Roman"/>
                <w:sz w:val="17"/>
              </w:rPr>
              <w:t xml:space="preserve">+0.025 [+0.009, +0.042]*</w:t>
            </w:r>
          </w:p>
        </w:tc>
        <w:tc>
          <w:tcPr/>
          <w:p>
            <w:pPr>
              <w:pStyle w:val="Compact"/>
              <w:spacing w:before="20" w:after="20" w:line="240" w:lineRule="auto"/>
              <w:ind w:firstLine="0"/>
              <w:jc w:val="left"/>
            </w:pPr>
            <w:r>
              <w:rPr>
                <w:rFonts w:ascii="Times New Roman" w:hAnsi="Times New Roman"/>
                <w:sz w:val="17"/>
              </w:rPr>
              <w:t xml:space="preserve">+0.003 [-0.016, +0.020]</w:t>
            </w:r>
          </w:p>
        </w:tc>
        <w:tc>
          <w:tcPr/>
          <w:p>
            <w:pPr>
              <w:pStyle w:val="Compact"/>
              <w:spacing w:before="20" w:after="20" w:line="240" w:lineRule="auto"/>
              <w:ind w:firstLine="0"/>
              <w:jc w:val="left"/>
            </w:pPr>
            <w:r>
              <w:rPr>
                <w:rFonts w:ascii="Times New Roman" w:hAnsi="Times New Roman"/>
                <w:sz w:val="17"/>
              </w:rPr>
              <w:t xml:space="preserve">1.27*</w:t>
            </w:r>
          </w:p>
        </w:tc>
        <w:tc>
          <w:tcPr/>
          <w:p>
            <w:pPr>
              <w:pStyle w:val="Compact"/>
              <w:spacing w:before="20" w:after="20" w:line="240" w:lineRule="auto"/>
              <w:ind w:firstLine="0"/>
              <w:jc w:val="left"/>
            </w:pPr>
            <w:r>
              <w:rPr>
                <w:rFonts w:ascii="Times New Roman" w:hAnsi="Times New Roman"/>
                <w:sz w:val="17"/>
              </w:rPr>
              <w:t xml:space="preserve">1.25*</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0.076</w:t>
            </w:r>
          </w:p>
        </w:tc>
        <w:tc>
          <w:tcPr/>
          <w:p>
            <w:pPr>
              <w:pStyle w:val="Compact"/>
              <w:spacing w:before="20" w:after="20" w:line="240" w:lineRule="auto"/>
              <w:ind w:firstLine="0"/>
              <w:jc w:val="left"/>
            </w:pPr>
            <w:r>
              <w:rPr>
                <w:rFonts w:ascii="Times New Roman" w:hAnsi="Times New Roman"/>
                <w:sz w:val="17"/>
              </w:rPr>
              <w:t xml:space="preserve">+0.128 [+0.108, +0.150]*</w:t>
            </w:r>
          </w:p>
        </w:tc>
        <w:tc>
          <w:tcPr/>
          <w:p>
            <w:pPr>
              <w:pStyle w:val="Compact"/>
              <w:spacing w:before="20" w:after="20" w:line="240" w:lineRule="auto"/>
              <w:ind w:firstLine="0"/>
              <w:jc w:val="left"/>
            </w:pPr>
            <w:r>
              <w:rPr>
                <w:rFonts w:ascii="Times New Roman" w:hAnsi="Times New Roman"/>
                <w:sz w:val="17"/>
              </w:rPr>
              <w:t xml:space="preserve">+0.105 [+0.088, +0.124]*</w:t>
            </w:r>
          </w:p>
        </w:tc>
        <w:tc>
          <w:tcPr/>
          <w:p>
            <w:pPr>
              <w:pStyle w:val="Compact"/>
              <w:spacing w:before="20" w:after="20" w:line="240" w:lineRule="auto"/>
              <w:ind w:firstLine="0"/>
              <w:jc w:val="left"/>
            </w:pPr>
            <w:r>
              <w:rPr>
                <w:rFonts w:ascii="Times New Roman" w:hAnsi="Times New Roman"/>
                <w:sz w:val="17"/>
              </w:rPr>
              <w:t xml:space="preserve">+0.023 [+0.000, +0.047]</w:t>
            </w:r>
          </w:p>
        </w:tc>
        <w:tc>
          <w:tcPr/>
          <w:p>
            <w:pPr>
              <w:pStyle w:val="Compact"/>
              <w:spacing w:before="20" w:after="20" w:line="240" w:lineRule="auto"/>
              <w:ind w:firstLine="0"/>
              <w:jc w:val="left"/>
            </w:pPr>
            <w:r>
              <w:rPr>
                <w:rFonts w:ascii="Times New Roman" w:hAnsi="Times New Roman"/>
                <w:sz w:val="17"/>
              </w:rPr>
              <w:t xml:space="preserve">2.68*</w:t>
            </w:r>
          </w:p>
        </w:tc>
        <w:tc>
          <w:tcPr/>
          <w:p>
            <w:pPr>
              <w:pStyle w:val="Compact"/>
              <w:spacing w:before="20" w:after="20" w:line="240" w:lineRule="auto"/>
              <w:ind w:firstLine="0"/>
              <w:jc w:val="left"/>
            </w:pPr>
            <w:r>
              <w:rPr>
                <w:rFonts w:ascii="Times New Roman" w:hAnsi="Times New Roman"/>
                <w:sz w:val="17"/>
              </w:rPr>
              <w:t xml:space="preserve">2.37*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0.072</w:t>
            </w:r>
          </w:p>
        </w:tc>
        <w:tc>
          <w:tcPr/>
          <w:p>
            <w:pPr>
              <w:pStyle w:val="Compact"/>
              <w:spacing w:before="20" w:after="20" w:line="240" w:lineRule="auto"/>
              <w:ind w:firstLine="0"/>
              <w:jc w:val="left"/>
            </w:pPr>
            <w:r>
              <w:rPr>
                <w:rFonts w:ascii="Times New Roman" w:hAnsi="Times New Roman"/>
                <w:sz w:val="17"/>
              </w:rPr>
              <w:t xml:space="preserve">+0.032 [+0.025, +0.039]*</w:t>
            </w:r>
          </w:p>
        </w:tc>
        <w:tc>
          <w:tcPr/>
          <w:p>
            <w:pPr>
              <w:pStyle w:val="Compact"/>
              <w:spacing w:before="20" w:after="20" w:line="240" w:lineRule="auto"/>
              <w:ind w:firstLine="0"/>
              <w:jc w:val="left"/>
            </w:pPr>
            <w:r>
              <w:rPr>
                <w:rFonts w:ascii="Times New Roman" w:hAnsi="Times New Roman"/>
                <w:sz w:val="17"/>
              </w:rPr>
              <w:t xml:space="preserve">+0.028 [+0.021, +0.035]*</w:t>
            </w:r>
          </w:p>
        </w:tc>
        <w:tc>
          <w:tcPr/>
          <w:p>
            <w:pPr>
              <w:pStyle w:val="Compact"/>
              <w:spacing w:before="20" w:after="20" w:line="240" w:lineRule="auto"/>
              <w:ind w:firstLine="0"/>
              <w:jc w:val="left"/>
            </w:pPr>
            <w:r>
              <w:rPr>
                <w:rFonts w:ascii="Times New Roman" w:hAnsi="Times New Roman"/>
                <w:sz w:val="17"/>
              </w:rPr>
              <w:t xml:space="preserve">+0.004 [-0.008, +0.016]</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0.010</w:t>
            </w:r>
          </w:p>
        </w:tc>
        <w:tc>
          <w:tcPr/>
          <w:p>
            <w:pPr>
              <w:pStyle w:val="Compact"/>
              <w:spacing w:before="20" w:after="20" w:line="240" w:lineRule="auto"/>
              <w:ind w:firstLine="0"/>
              <w:jc w:val="left"/>
            </w:pPr>
            <w:r>
              <w:rPr>
                <w:rFonts w:ascii="Times New Roman" w:hAnsi="Times New Roman"/>
                <w:sz w:val="17"/>
              </w:rPr>
              <w:t xml:space="preserve">+0.015 [+0.013, +0.018]*</w:t>
            </w:r>
          </w:p>
        </w:tc>
        <w:tc>
          <w:tcPr/>
          <w:p>
            <w:pPr>
              <w:pStyle w:val="Compact"/>
              <w:spacing w:before="20" w:after="20" w:line="240" w:lineRule="auto"/>
              <w:ind w:firstLine="0"/>
              <w:jc w:val="left"/>
            </w:pPr>
            <w:r>
              <w:rPr>
                <w:rFonts w:ascii="Times New Roman" w:hAnsi="Times New Roman"/>
                <w:sz w:val="17"/>
              </w:rPr>
              <w:t xml:space="preserve">+0.011 [+0.009, +0.014]*</w:t>
            </w:r>
          </w:p>
        </w:tc>
        <w:tc>
          <w:tcPr/>
          <w:p>
            <w:pPr>
              <w:pStyle w:val="Compact"/>
              <w:spacing w:before="20" w:after="20" w:line="240" w:lineRule="auto"/>
              <w:ind w:firstLine="0"/>
              <w:jc w:val="left"/>
            </w:pPr>
            <w:r>
              <w:rPr>
                <w:rFonts w:ascii="Times New Roman" w:hAnsi="Times New Roman"/>
                <w:sz w:val="17"/>
              </w:rPr>
              <w:t xml:space="preserve">+0.004 [-0.001, +0.009]</w:t>
            </w:r>
          </w:p>
        </w:tc>
        <w:tc>
          <w:tcPr/>
          <w:p>
            <w:pPr>
              <w:pStyle w:val="Compact"/>
              <w:spacing w:before="20" w:after="20" w:line="240" w:lineRule="auto"/>
              <w:ind w:firstLine="0"/>
              <w:jc w:val="left"/>
            </w:pPr>
            <w:r>
              <w:rPr>
                <w:rFonts w:ascii="Times New Roman" w:hAnsi="Times New Roman"/>
                <w:sz w:val="17"/>
              </w:rPr>
              <w:t xml:space="preserve">2.54*</w:t>
            </w:r>
          </w:p>
        </w:tc>
        <w:tc>
          <w:tcPr/>
          <w:p>
            <w:pPr>
              <w:pStyle w:val="Compact"/>
              <w:spacing w:before="20" w:after="20" w:line="240" w:lineRule="auto"/>
              <w:ind w:firstLine="0"/>
              <w:jc w:val="left"/>
            </w:pPr>
            <w:r>
              <w:rPr>
                <w:rFonts w:ascii="Times New Roman" w:hAnsi="Times New Roman"/>
                <w:sz w:val="17"/>
              </w:rPr>
              <w:t xml:space="preserve">2.16*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0.124</w:t>
            </w:r>
          </w:p>
        </w:tc>
        <w:tc>
          <w:tcPr/>
          <w:p>
            <w:pPr>
              <w:pStyle w:val="Compact"/>
              <w:spacing w:before="20" w:after="20" w:line="240" w:lineRule="auto"/>
              <w:ind w:firstLine="0"/>
              <w:jc w:val="left"/>
            </w:pPr>
            <w:r>
              <w:rPr>
                <w:rFonts w:ascii="Times New Roman" w:hAnsi="Times New Roman"/>
                <w:sz w:val="17"/>
              </w:rPr>
              <w:t xml:space="preserve">+0.103 [+0.089, +0.118]*</w:t>
            </w:r>
          </w:p>
        </w:tc>
        <w:tc>
          <w:tcPr/>
          <w:p>
            <w:pPr>
              <w:pStyle w:val="Compact"/>
              <w:spacing w:before="20" w:after="20" w:line="240" w:lineRule="auto"/>
              <w:ind w:firstLine="0"/>
              <w:jc w:val="left"/>
            </w:pPr>
            <w:r>
              <w:rPr>
                <w:rFonts w:ascii="Times New Roman" w:hAnsi="Times New Roman"/>
                <w:sz w:val="17"/>
              </w:rPr>
              <w:t xml:space="preserve">+0.099 [+0.083, +0.115]*</w:t>
            </w:r>
          </w:p>
        </w:tc>
        <w:tc>
          <w:tcPr/>
          <w:p>
            <w:pPr>
              <w:pStyle w:val="Compact"/>
              <w:spacing w:before="20" w:after="20" w:line="240" w:lineRule="auto"/>
              <w:ind w:firstLine="0"/>
              <w:jc w:val="left"/>
            </w:pPr>
            <w:r>
              <w:rPr>
                <w:rFonts w:ascii="Times New Roman" w:hAnsi="Times New Roman"/>
                <w:sz w:val="17"/>
              </w:rPr>
              <w:t xml:space="preserve">+0.004 [-0.022, +0.030]</w:t>
            </w:r>
          </w:p>
        </w:tc>
        <w:tc>
          <w:tcPr/>
          <w:p>
            <w:pPr>
              <w:pStyle w:val="Compact"/>
              <w:spacing w:before="20" w:after="20" w:line="240" w:lineRule="auto"/>
              <w:ind w:firstLine="0"/>
              <w:jc w:val="left"/>
            </w:pPr>
            <w:r>
              <w:rPr>
                <w:rFonts w:ascii="Times New Roman" w:hAnsi="Times New Roman"/>
                <w:sz w:val="17"/>
              </w:rPr>
              <w:t xml:space="preserve">1.83*</w:t>
            </w:r>
          </w:p>
        </w:tc>
        <w:tc>
          <w:tcPr/>
          <w:p>
            <w:pPr>
              <w:pStyle w:val="Compact"/>
              <w:spacing w:before="20" w:after="20" w:line="240" w:lineRule="auto"/>
              <w:ind w:firstLine="0"/>
              <w:jc w:val="left"/>
            </w:pPr>
            <w:r>
              <w:rPr>
                <w:rFonts w:ascii="Times New Roman" w:hAnsi="Times New Roman"/>
                <w:sz w:val="17"/>
              </w:rPr>
              <w:t xml:space="preserve">1.80*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purchase</w:t>
            </w:r>
          </w:p>
        </w:tc>
        <w:tc>
          <w:tcPr/>
          <w:p>
            <w:pPr>
              <w:pStyle w:val="Compact"/>
              <w:spacing w:before="20" w:after="20" w:line="240" w:lineRule="auto"/>
              <w:ind w:firstLine="0"/>
              <w:jc w:val="left"/>
            </w:pPr>
            <w:r>
              <w:rPr>
                <w:rFonts w:ascii="Times New Roman" w:hAnsi="Times New Roman"/>
                <w:sz w:val="17"/>
              </w:rPr>
              <w:t xml:space="preserve">0.009</w:t>
            </w:r>
          </w:p>
        </w:tc>
        <w:tc>
          <w:tcPr/>
          <w:p>
            <w:pPr>
              <w:pStyle w:val="Compact"/>
              <w:spacing w:before="20" w:after="20" w:line="240" w:lineRule="auto"/>
              <w:ind w:firstLine="0"/>
              <w:jc w:val="left"/>
            </w:pPr>
            <w:r>
              <w:rPr>
                <w:rFonts w:ascii="Times New Roman" w:hAnsi="Times New Roman"/>
                <w:sz w:val="17"/>
              </w:rPr>
              <w:t xml:space="preserve">+0.080 [+0.072, +0.088]*</w:t>
            </w:r>
          </w:p>
        </w:tc>
        <w:tc>
          <w:tcPr/>
          <w:p>
            <w:pPr>
              <w:pStyle w:val="Compact"/>
              <w:spacing w:before="20" w:after="20" w:line="240" w:lineRule="auto"/>
              <w:ind w:firstLine="0"/>
              <w:jc w:val="left"/>
            </w:pPr>
            <w:r>
              <w:rPr>
                <w:rFonts w:ascii="Times New Roman" w:hAnsi="Times New Roman"/>
                <w:sz w:val="17"/>
              </w:rPr>
              <w:t xml:space="preserve">+0.077 [+0.069, +0.084]*</w:t>
            </w:r>
          </w:p>
        </w:tc>
        <w:tc>
          <w:tcPr/>
          <w:p>
            <w:pPr>
              <w:pStyle w:val="Compact"/>
              <w:spacing w:before="20" w:after="20" w:line="240" w:lineRule="auto"/>
              <w:ind w:firstLine="0"/>
              <w:jc w:val="left"/>
            </w:pPr>
            <w:r>
              <w:rPr>
                <w:rFonts w:ascii="Times New Roman" w:hAnsi="Times New Roman"/>
                <w:sz w:val="17"/>
              </w:rPr>
              <w:t xml:space="preserve">+0.003 [-0.010, +0.017]</w:t>
            </w:r>
          </w:p>
        </w:tc>
        <w:tc>
          <w:tcPr/>
          <w:p>
            <w:pPr>
              <w:pStyle w:val="Compact"/>
              <w:spacing w:before="20" w:after="20" w:line="240" w:lineRule="auto"/>
              <w:ind w:firstLine="0"/>
              <w:jc w:val="left"/>
            </w:pPr>
            <w:r>
              <w:rPr>
                <w:rFonts w:ascii="Times New Roman" w:hAnsi="Times New Roman"/>
                <w:sz w:val="17"/>
              </w:rPr>
              <w:t xml:space="preserve">10.43*</w:t>
            </w:r>
          </w:p>
        </w:tc>
        <w:tc>
          <w:tcPr/>
          <w:p>
            <w:pPr>
              <w:pStyle w:val="Compact"/>
              <w:spacing w:before="20" w:after="20" w:line="240" w:lineRule="auto"/>
              <w:ind w:firstLine="0"/>
              <w:jc w:val="left"/>
            </w:pPr>
            <w:r>
              <w:rPr>
                <w:rFonts w:ascii="Times New Roman" w:hAnsi="Times New Roman"/>
                <w:sz w:val="17"/>
              </w:rPr>
              <w:t xml:space="preserve">10.03*</w:t>
            </w:r>
          </w:p>
        </w:tc>
      </w:tr>
    </w:tbl>
    <w:p>
      <w:pPr>
        <w:pStyle w:val="BodyText"/>
        <w:spacing w:line="240" w:lineRule="auto"/>
        <w:ind w:firstLine="0"/>
      </w:pPr>
      <w:r>
        <w:rPr>
          <w:iCs/>
          <w:i/>
        </w:rPr>
        <w:t xml:space="preserve">Table 4. Probability-elicitation design (mean elicited probability over 300 simulated customers per seed, three independent calls per customer; 900 customers for GPT-4o-mini, Llama-3.3-70B, and Haiku 5.5, which were run on three seeds). Lift = probability with the email minus probability without it; gap = lift of the men’s email minus lift of the women’s email; intervals are 95% paired bootstrap intervals over customers (real values: normal approximation). RR = risk ratio; for the models run on three seeds it is the mean of the three per-seed ratios, and the asterisk is set only if the interval excludes the real ratio in all three seeds. * the simulated and the real intervals do not overlap.</w:t>
      </w:r>
    </w:p>
    <w:p>
      <w:pPr>
        <w:pStyle w:val="CaptionedFigure"/>
      </w:pPr>
      <w:r>
        <w:drawing>
          <wp:inline>
            <wp:extent cx="5334000" cy="3710608"/>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334000" cy="3710608"/>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exceeds one in all 32 probability-elicitation cells, but its interval includes or touches one in two (GPT-4o-mini with the anchor for visits, 1.01 [1.00, 1.03], where the model answered about 10% regardless of the email, and Sonnet 5 with the anchor for purchases, 1.09 [0.96, 1.25]), and Llama with the anchor gave a risk ratio below one in the yes/no format for visits (0.60 to 0.69 in all three seeds). For the three models run on three seeds, the risk ratio exceeded one in all 24 cells of the two further seeds (smallest lower bound 1.00). Second, the size of the visit effect depends on the model and the prompt. In 4 of 16 configurations the lift for the men’s email is statistically consistent with the real +0.077 (Llama-3.3-70B, Haiku 5.5, and Mistral Large 4 without the anchor, and GPT-5.6-terra with it); five are less than half as large (for example Sonnet 5 with the anchor, +0.025), and four are more than 1.5 times as large (for example GPT-4o-mini without the anchor, +0.190). Which prompt works differs by model: the anchor brings GPT-5.6-terra to the real value but moves DeepSeek-V4-Pro from 0.5 to 2.6 times the real lift.</w:t>
      </w:r>
    </w:p>
    <w:p>
      <w:pPr>
        <w:pStyle w:val="BodyText"/>
      </w:pPr>
      <w:r>
        <w:t xml:space="preserve">Third, the absolute lift in purchase probability exceeds the real +0.0068 in 15 of the 16 configurations, by a median factor of about 10 and by up to 25 (for example +0.169 for GPT-4o-mini without the anchor). The one exception is Sonnet 5 with the anchor, whose purchase lift (+0.004, interval -0.002 to +0.010) is consistent with the real one; but this model rates the visit lift at only 0.3 times the real value and its no-email purchase probability (0.046) is eight times the real one, so it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explains both patterns: Llama without the anchor has a visit lift of +0.071, close to the real value, but a no-email probability of 0.30 instead of 0.106, and therefore a risk ratio of only 1.24 against the real 1.72.</w:t>
      </w:r>
    </w:p>
    <w:p>
      <w:pPr>
        <w:pStyle w:val="BodyText"/>
      </w:pPr>
      <w:r>
        <w:t xml:space="preserve">Fourth, the models do not tell the two emails apart. In reality the men’s email has the larger lift (+0.077 against +0.045 for visits, a gap of +0.031 with interval +0.024 to +0.038). Among the 32 probability-elicitation cells, none has a gap interval that excludes zero in the right direction. The point estimate of the gap is positive in only 15 cells, the largest simulated visit gap is +0.013, and in three cells (Haiku 5.5 without the anchor for visits, and GPT-4o-mini in both prompt variants for purchases) the women’s email is rated significantly higher.</w:t>
      </w:r>
    </w:p>
    <w:p>
      <w:pPr>
        <w:pStyle w:val="BodyText"/>
      </w:pPr>
      <w:r>
        <w:t xml:space="preserve">Direct yes/no answers are not usable for rare events. In 15 of 32 yes/no cells of the first seed (and in 13 of 24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(for example, GPT-4o-mini answered</w:t>
      </w:r>
      <w:r>
        <w:t xml:space="preserve"> </w:t>
      </w:r>
      <w:r>
        <w:t xml:space="preserve">“</w:t>
      </w:r>
      <w:r>
        <w:t xml:space="preserve">No</w:t>
      </w:r>
      <w:r>
        <w:t xml:space="preserve">”</w:t>
      </w:r>
      <w:r>
        <w:t xml:space="preserve"> </w:t>
      </w:r>
      <w:r>
        <w:t xml:space="preserve">for every customer without an email and</w:t>
      </w:r>
      <w:r>
        <w:t xml:space="preserve"> </w:t>
      </w:r>
      <w:r>
        <w:t xml:space="preserve">“</w:t>
      </w:r>
      <w:r>
        <w:t xml:space="preserve">Yes</w:t>
      </w:r>
      <w:r>
        <w:t xml:space="preserve">”</w:t>
      </w:r>
      <w:r>
        <w:t xml:space="preserve"> </w:t>
      </w:r>
      <w:r>
        <w:t xml:space="preserve">for about half with one). The yes/no visit lifts range from -0.31 to +0.55, and the purchase lifts from +0.007 to +0.55,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and compared it with the same share in the reference. In the reference the top tenth account for 65% of purchases in the low-mean setting, 39% in the high-mean setting, and 30% for the demographic households. For a population without heterogeneity the share is 10% or, in the low-mean setting, slightly above because most counts are zero and the counts of the rest are discrete.</w:t>
      </w:r>
    </w:p>
    <w:p>
      <w:pPr>
        <w:pStyle w:val="BodyText"/>
      </w:pPr>
      <w:r>
        <w:t xml:space="preserve">The prediction is borne out. Direct answers and daily simulation cannot represent concentration. In the 91 cells of these two designs in which a meaningful share can be computed, the top-decile share is below the reference in every one and the interval excludes the reference. It lies between 0.10 and 0.49 in the low-mean setting (the highest value is the overdispersed DeepSeek-V4-Pro cell for direct answers), between 0.10 and 0.18 in the high-mean setting, and between 0.10 and 0.16 for the demographic households, that is, practically at the 10% that a population without heterogeneity would give. We excluded five low-mean cells in which almost every simulated customer made no purchase, where the share is 1.00 or undefined only because there is almost nothing to distribute. Describing a distribution recovers part of the concentration (0.30 to 0.52 in the low-mean setting against 0.65, and 0.27 to 0.36 in the high-mean setting against 0.39), and its interval excludes the reference in 16 of 16 and 15 of 16 cells. For the demographic households, whose reference concentration is low, it lies within the interval of the reference in 11 of 16 cells. The hybrid design reproduces concentration in 39 of 48 cells (11 of 16, 13 of 16,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summary-of-hypotheses"/>
    <w:p>
      <w:pPr>
        <w:pStyle w:val="Heading2"/>
      </w:pPr>
      <w:r>
        <w:t xml:space="preserve">5.8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lies below the reference in 45 of 47 cells (low mean; the exceptions are a DeepSeek-V4-Pro cell for direct answers and a Sonnet 5 cell for daily simulation, both without the anchor), 48 of 48 (high mean), and 45 of 48 (demographic personas, where design C sometimes reaches the reference). The zero share of designs A and B is at most 0.02 in the two high-mean settings and below the real value in 26 of 32 low-mean cells (in the others, anchored prompts led the model to answer</w:t>
            </w:r>
            <w:r>
              <w:rPr>
                <w:rFonts w:ascii="Times New Roman" w:hAnsi="Times New Roman"/>
                <w:sz w:val="17"/>
              </w:rPr>
              <w:t xml:space="preserve"> </w:t>
            </w:r>
            <w:r>
              <w:rPr>
                <w:rFonts w:ascii="Times New Roman" w:hAnsi="Times New Roman"/>
                <w:sz w:val="17"/>
              </w:rPr>
              <w:t xml:space="preserve">“</w:t>
            </w:r>
            <w:r>
              <w:rPr>
                <w:rFonts w:ascii="Times New Roman" w:hAnsi="Times New Roman"/>
                <w:sz w:val="17"/>
              </w:rPr>
              <w:t xml:space="preserve">0</w:t>
            </w:r>
            <w:r>
              <w:rPr>
                <w:rFonts w:ascii="Times New Roman" w:hAnsi="Times New Roman"/>
                <w:sz w:val="17"/>
              </w:rPr>
              <w:t xml:space="preserve">”</w:t>
            </w:r>
            <w:r>
              <w:rPr>
                <w:rFonts w:ascii="Times New Roman" w:hAnsi="Times New Roman"/>
                <w:sz w:val="17"/>
              </w:rPr>
              <w:t xml:space="preserve"> </w:t>
            </w:r>
            <w:r>
              <w:rPr>
                <w:rFonts w:ascii="Times New Roman" w:hAnsi="Times New Roman"/>
                <w:sz w:val="17"/>
              </w:rPr>
              <w:t xml:space="preserve">for most customers).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Design C stays below its ceiling in all 16 low-mean cells, reaches it in 3 of 16 high-mean cells, and reaches it in 10 of 16 cells with demographic personas. Zero shares are too low where the real share is large (0.74 and 0.19) but close to the real value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(10 of 16, 12 of 16, 10 of 16),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in the demographic setting, the zero share is too high in every cell. No model matches in more than two of the three settings.</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with two intervals touching one (see Section 5.6).</w:t>
            </w:r>
          </w:p>
        </w:tc>
      </w:tr>
      <w:tr>
        <w:tc>
          <w:tcPr/>
          <w:p>
            <w:pPr>
              <w:pStyle w:val="Compact"/>
              <w:spacing w:before="20" w:after="20" w:line="240" w:lineRule="auto"/>
              <w:ind w:firstLine="0"/>
              <w:jc w:val="left"/>
            </w:pPr>
            <w:r>
              <w:rPr>
                <w:rFonts w:ascii="Times New Roman" w:hAnsi="Times New Roman"/>
                <w:sz w:val="17"/>
              </w:rPr>
              <w:t xml:space="preserve">H4b. Absolute lift is overstated when the simulated base rate is overstated.</w:t>
            </w:r>
          </w:p>
        </w:tc>
        <w:tc>
          <w:tcPr/>
          <w:p>
            <w:pPr>
              <w:pStyle w:val="Compact"/>
              <w:spacing w:before="20" w:after="20" w:line="240" w:lineRule="auto"/>
              <w:ind w:firstLine="0"/>
              <w:jc w:val="left"/>
            </w:pPr>
            <w:r>
              <w:rPr>
                <w:rFonts w:ascii="Times New Roman" w:hAnsi="Times New Roman"/>
                <w:sz w:val="17"/>
              </w:rPr>
              <w:t xml:space="preserve">Supported for purchases: the lift exceeds the real value in 15 of 16 configurations (median about tenfold). Not for visits: 4 of 16 are consistent with the real value, 5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simulated gap between the two emails excludes zero in only 3 of 32 cells, and in all three the sign is the opposite of the real one.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concentration of purchases among heavy buyers (Proposition 3).</w:t>
            </w:r>
          </w:p>
        </w:tc>
        <w:tc>
          <w:tcPr/>
          <w:p>
            <w:pPr>
              <w:pStyle w:val="Compact"/>
              <w:spacing w:before="20" w:after="20" w:line="240" w:lineRule="auto"/>
              <w:ind w:firstLine="0"/>
              <w:jc w:val="left"/>
            </w:pPr>
            <w:r>
              <w:rPr>
                <w:rFonts w:ascii="Times New Roman" w:hAnsi="Times New Roman"/>
                <w:sz w:val="17"/>
              </w:rPr>
              <w:t xml:space="preserve">Supported. The top-decile share of purchases is practically at the 10% of a homogeneous population for direct and daily designs (below the reference in all 91 interpretable cells), is partly recovered by describing a distribution, and is matched by the hybrid design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With real demographics the simulated counts have a rank correlation with real counts of -0.17 to +0.16 (3 of 63 intervals exclude zero); the demographics themselves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Not for the hybrid design either: its accuracy follows the model’s mean, which matched the reference in 13 of 48 cells with no model better than the others across settings.</w:t>
            </w:r>
          </w:p>
        </w:tc>
      </w:tr>
    </w:tbl>
    <w:p>
      <w:pPr>
        <w:pStyle w:val="BodyText"/>
        <w:spacing w:line="240" w:lineRule="auto"/>
        <w:ind w:firstLine="0"/>
      </w:pPr>
      <w:r>
        <w:rPr>
          <w:iCs/>
          <w:i/>
        </w:rPr>
        <w:t xml:space="preserve">Table 5. Hypotheses and evidence.</w:t>
      </w:r>
    </w:p>
    <w:bookmarkEnd w:id="54"/>
    <w:bookmarkEnd w:id="55"/>
    <w:bookmarkStart w:id="62" w:name="discussion"/>
    <w:p>
      <w:pPr>
        <w:pStyle w:val="Heading1"/>
      </w:pPr>
      <w:r>
        <w:t xml:space="preserve">6. Discussion</w:t>
      </w:r>
    </w:p>
    <w:bookmarkStart w:id="56" w:name="theoretical-contributions"/>
    <w:p>
      <w:pPr>
        <w:pStyle w:val="Heading2"/>
      </w:pPr>
      <w:r>
        <w:t xml:space="preserve">6.1 Theoretical contributions</w:t>
      </w:r>
    </w:p>
    <w:p>
      <w:pPr>
        <w:pStyle w:val="FirstParagraph"/>
      </w:pPr>
      <w:r>
        <w:t xml:space="preserve">Our results support a simple reading of synthetic purchase data: persona-conditioned LLM simulators compress customer heterogeneity, and the compression has a specific, measurable form. Proposition 1 shows why direct answers cannot be overdispersed in general (they lose Poisson noise and the share of heterogeneity that the persona does not describe), and the data are consistent with it: variance-to-mean ratios of direct answers are at most 1.00 in 42 of 48 cells, whatever the mean or the model, and the demographic-persona experiment reproduces the predicted</w:t>
      </w:r>
      <w:r>
        <w:t xml:space="preserve"> </w:t>
      </w:r>
      <m:oMath>
        <m:r>
          <m:t>α</m:t>
        </m:r>
      </m:oMath>
      <w:r>
        <w:t xml:space="preserve"> </w:t>
      </w:r>
      <w:r>
        <w:t xml:space="preserve">of about -0.12. Proposition 2 clarifies what an external heterogeneity term can and cannot do: it restores dispersion, but only the within-persona part, and its accuracy then rests on the model’s mean. A further result concerns model scale. Larger and more recent models (Sonnet 5, GPT-5.6-terra, DeepSeek-V4-Pro, Gemini 3.1 Flash-Lite, Mistral Large 4) do not escape the collapse of direct answers, and none of them supplies a reliably accurate mean for the hybrid design: the mean matched in 13 of 48 cells, and the cells in which all four statistics matched were scattered across models and prompts. This reframes the usual advice to</w:t>
      </w:r>
      <w:r>
        <w:t xml:space="preserve"> </w:t>
      </w:r>
      <w:r>
        <w:t xml:space="preserve">“</w:t>
      </w:r>
      <w:r>
        <w:t xml:space="preserve">add noise</w:t>
      </w:r>
      <w:r>
        <w:t xml:space="preserve">”</w:t>
      </w:r>
      <w:r>
        <w:t xml:space="preserve"> </w:t>
      </w:r>
      <w:r>
        <w:t xml:space="preserve">to synthetic respondents. The amount of noise is not a free parameter; it is determined by how much heterogeneity the persona already carries.</w:t>
      </w:r>
    </w:p>
    <w:p>
      <w:pPr>
        <w:pStyle w:val="BodyText"/>
      </w:pPr>
      <w:r>
        <w:t xml:space="preserve">Two further results extend what is known about LLM-based simulation. First, describing a distribution (Jang et al. 2026, Zhang et al. 2025a) helps more at a high mean than at a low mean, and in the settings where zeros are common it under-produces them. The zero share is the part of a count distribution that decides how many customers a campaign is not reaching, and this is where description fails. Second, evaluating a promotion simulator on relative effects alone is hazardous. The relation</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shows that errors in the simulated base rate and errors in the simulated lift are confounded in the risk ratio, and our data contain cases in which the two readings of the same output disagree.</w:t>
      </w:r>
    </w:p>
    <w:p>
      <w:pPr>
        <w:pStyle w:val="BodyText"/>
      </w:pPr>
      <w:r>
        <w:t xml:space="preserve">A further implication concerns the limits of AI-based decision support and of the</w:t>
      </w:r>
      <w:r>
        <w:t xml:space="preserve"> </w:t>
      </w:r>
      <w:r>
        <w:t xml:space="preserve">“</w:t>
      </w:r>
      <w:r>
        <w:t xml:space="preserve">digital twin</w:t>
      </w:r>
      <w:r>
        <w:t xml:space="preserve">”</w:t>
      </w:r>
      <w:r>
        <w:t xml:space="preserve"> </w:t>
      </w:r>
      <w:r>
        <w:t xml:space="preserve">idea. A twin is usually understood as a replica that can stand in for the original in a decision. Our evidence supports a narrower reading. At the level of the individual customer, the demographic personas carried almost no information about real counts (rank correlations between -0.17 and +0.16), so a customer-level replica is not supported by these data. At the level of the population, the distribution of counts and the size of effects are reproduced only by designs in which the dispersion is supplied from outside the model and the level is checked against data. The claim that a simulated population is a twin of a real one is therefore a claim about specific properties, and it has to be tested property by property: the share of zeros, the spread, the tail, and the absolute size of an effect. We view this as the main point for information systems research on generative AI in decision support. Evaluation should be stated in terms of the decision-relevant properties of the artifact’s output, because fluency and aggregate plausibility, which are what users see, do not indicate them.</w:t>
      </w:r>
    </w:p>
    <w:bookmarkEnd w:id="56"/>
    <w:bookmarkStart w:id="57" w:name="X65830c8ffcd303230289e3fa99b65d240227f6e"/>
    <w:p>
      <w:pPr>
        <w:pStyle w:val="Heading2"/>
      </w:pPr>
      <w:r>
        <w:t xml:space="preserve">6.2 Design principles for synthetic-customer systems</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should be read as hypotheses for design rather than as established prescriptions.</w:t>
      </w:r>
    </w:p>
    <w:p>
      <w:pPr>
        <w:pStyle w:val="BodyText"/>
      </w:pPr>
      <w:r>
        <w:rPr>
          <w:iCs/>
          <w:i/>
        </w:rPr>
        <w:t xml:space="preserve">Principle 1: Separate the level from the spread.</w:t>
      </w:r>
      <w:r>
        <w:t xml:space="preserve"> </w:t>
      </w:r>
      <w:r>
        <w:t xml:space="preserve">Take the expected rate of a customer from the model and take the dispersion across customers from an external, calibrated source (Proposition 2). In system terms this places a statistical calibration layer behind the language model, with the variance budget of Section 3.7 as its rule. Designs that let the model produce the spread itself collapsed, while the hybrid design matched the reference dispersion in 32 of 48 cells.</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not random but systematic (Section 5).</w:t>
      </w:r>
    </w:p>
    <w:p>
      <w:pPr>
        <w:pStyle w:val="BodyText"/>
      </w:pPr>
      <w:r>
        <w:rPr>
          <w:iCs/>
          <w:i/>
        </w:rPr>
        <w:t xml:space="preserve">Principle 3: Calibrate the level before use, and invest in customer data before model capability.</w:t>
      </w:r>
      <w:r>
        <w:t xml:space="preserve"> </w:t>
      </w:r>
      <w:r>
        <w:t xml:space="preserve">Because the persona bounds what the model can carry (Section 3.8), the data assets that feed the persona matter more than the choice of model. The mean from the model was the bottleneck of the hybrid design (matching the reference in only 13 of 48 cells). A rescaling of the model’s rate against a historical customer file is a natural step that we did not test.</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it made the model repeat the stated number for every customer. Wording of the prompt is a design parameter in the same sense.</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A further observation concerns use. The simulators’ output looked plausible: the sign of the promotion effect was right in nearly all cells, and the answers were fluent and well formed. Errors of the kind we document, such as a compressed spread or a tenfold lift, cannot be seen by inspecting the output, which is why an explicit evaluation protocol is needed before such a system is adopted for decisions.</w:t>
      </w:r>
    </w:p>
    <w:bookmarkEnd w:id="57"/>
    <w:bookmarkStart w:id="58" w:name="implications-for-practice"/>
    <w:p>
      <w:pPr>
        <w:pStyle w:val="Heading2"/>
      </w:pPr>
      <w:r>
        <w:t xml:space="preserve">6.3 Implications for practice</w:t>
      </w:r>
    </w:p>
    <w:p>
      <w:pPr>
        <w:pStyle w:val="FirstParagraph"/>
      </w:pPr>
      <w:r>
        <w:t xml:space="preserve">For managers who consider synthetic customers for decision support, the evidence suggests a short diagnostic protocol.</w:t>
      </w:r>
    </w:p>
    <w:p>
      <w:pPr>
        <w:numPr>
          <w:ilvl w:val="0"/>
          <w:numId w:val="1002"/>
        </w:numPr>
        <w:pStyle w:val="Compact"/>
      </w:pPr>
      <w:r>
        <w:rPr>
          <w:iCs/>
          <w:i/>
        </w:rPr>
        <w:t xml:space="preserve">Compare shapes, not only means.</w:t>
      </w:r>
      <w:r>
        <w:t xml:space="preserve"> </w:t>
      </w:r>
      <w:r>
        <w:t xml:space="preserve">Before using synthetic counts, compute the variance-to-mean ratio,</w:t>
      </w:r>
      <w:r>
        <w:t xml:space="preserve"> </w:t>
      </w:r>
      <m:oMath>
        <m:r>
          <m:t>α</m:t>
        </m:r>
      </m:oMath>
      <w:r>
        <w:t xml:space="preserve">, and the zero share against a historical customer file, and check them with an interval, as we do here. A ratio near or below one signals collapse.</w:t>
      </w:r>
    </w:p>
    <w:p>
      <w:pPr>
        <w:numPr>
          <w:ilvl w:val="0"/>
          <w:numId w:val="1002"/>
        </w:numPr>
        <w:pStyle w:val="Compact"/>
      </w:pPr>
      <w:r>
        <w:rPr>
          <w:iCs/>
          <w:i/>
        </w:rPr>
        <w:t xml:space="preserve">Do not use direct integer answers.</w:t>
      </w:r>
      <w:r>
        <w:t xml:space="preserve"> </w:t>
      </w:r>
      <w:r>
        <w:t xml:space="preserve">In our data they returned a single value for practically every customer in several cells.</w:t>
      </w:r>
    </w:p>
    <w:p>
      <w:pPr>
        <w:numPr>
          <w:ilvl w:val="0"/>
          <w:numId w:val="1002"/>
        </w:numPr>
        <w:pStyle w:val="Compact"/>
      </w:pPr>
      <w:r>
        <w:rPr>
          <w:iCs/>
          <w:i/>
        </w:rPr>
        <w:t xml:space="preserve">If the model is used, use it for the mean only,</w:t>
      </w:r>
      <w:r>
        <w:t xml:space="preserve"> </w:t>
      </w:r>
      <w:r>
        <w:t xml:space="preserve">and inject the remaining heterogeneity externally, calibrated according to Proposition 2 on a historical or pilot sample. Verify that the model’s mean is accurate; the hybrid inherits its errors, and in our data the mean matched the reference in only 13 of 48 hybrid cells.</w:t>
      </w:r>
    </w:p>
    <w:p>
      <w:pPr>
        <w:numPr>
          <w:ilvl w:val="0"/>
          <w:numId w:val="1002"/>
        </w:numPr>
        <w:pStyle w:val="Compact"/>
      </w:pPr>
      <w:r>
        <w:rPr>
          <w:iCs/>
          <w:i/>
        </w:rPr>
        <w:t xml:space="preserve">Treat a stated base rate as a prompt choice that must be tested.</w:t>
      </w:r>
      <w:r>
        <w:t xml:space="preserve"> </w:t>
      </w:r>
      <w:r>
        <w:t xml:space="preserve">It corrected the mean in some designs, collapsed all answers to one value in others, and changed the size of the simulated promotion effect by an order of magnitude.</w:t>
      </w:r>
    </w:p>
    <w:p>
      <w:pPr>
        <w:numPr>
          <w:ilvl w:val="0"/>
          <w:numId w:val="1002"/>
        </w:numPr>
        <w:pStyle w:val="Compact"/>
      </w:pPr>
      <w:r>
        <w:rPr>
          <w:iCs/>
          <w:i/>
        </w:rPr>
        <w:t xml:space="preserve">Validate on absolute effects and base rates.</w:t>
      </w:r>
      <w:r>
        <w:t xml:space="preserve"> </w:t>
      </w:r>
      <w:r>
        <w:t xml:space="preserve">Report the simulated base rate and the absolute lift next to the risk ratio, and compare both with a past randomized test before any revenue calculation.</w:t>
      </w:r>
    </w:p>
    <w:p>
      <w:pPr>
        <w:pStyle w:val="FirstParagraph"/>
      </w:pPr>
      <w:r>
        <w:t xml:space="preserve">The consequence for a decision can be shown in a stylized example. A firm launches a promotion if the expected gain per targeted customer exceeds its cost, that is, if the lift in purchase probability exceeds the ratio of cost to margin. Suppose a promotion costs 1 monetary unit per targeted customer and each purchase earns a margin of 50, so the ratio is 0.02. The real lift in purchase probability from the men’s email was 0.0068, below 0.02, so the randomized test says not to launch. The simulated lift exceeded 0.02 in 13 of the 16 configurations (the median was 0.065, and the real value was exceeded in 15), so a firm that relied on those simulators would have launched. The stylized numbers are ours and are not taken from the retailer, and the email test does not involve a discount, but the example shows how an overstated absolute lift turns directly into a wrong go decision.</w:t>
      </w:r>
    </w:p>
    <w:bookmarkEnd w:id="58"/>
    <w:bookmarkStart w:id="59" w:name="the-cost-of-uncritical-trust"/>
    <w:p>
      <w:pPr>
        <w:pStyle w:val="Heading2"/>
      </w:pPr>
      <w:r>
        <w:t xml:space="preserve">6.4 The cost of uncritical trust</w:t>
      </w:r>
    </w:p>
    <w:p>
      <w:pPr>
        <w:pStyle w:val="FirstParagraph"/>
      </w:pPr>
      <w:r>
        <w:t xml:space="preserve">The central managerial risk is not that synthetic customers are useless but that they are trusted without being tested. Our evidence points to five specific ways in which that trust becomes costly.</w:t>
      </w:r>
    </w:p>
    <w:p>
      <w:pPr>
        <w:pStyle w:val="BodyText"/>
      </w:pPr>
      <w:r>
        <w:rPr>
          <w:iCs/>
          <w:i/>
        </w:rPr>
        <w:t xml:space="preserve">Confident, wrong sizing.</w:t>
      </w:r>
      <w:r>
        <w:t xml:space="preserve"> </w:t>
      </w:r>
      <w:r>
        <w:t xml:space="preserve">The simulated purchase lift for the men’s email was overstated in 15 of 16 configurations, with a median of about ten times the randomized value. In the stylized example of Section 6.3, with a cost of 1 and a margin of 50 per purchase, a campaign to 100,000 customers has a real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median simulated lift of 0.065 predicts</w:t>
      </w:r>
      <w:r>
        <w:t xml:space="preserve"> </w:t>
      </w:r>
      <m:oMath>
        <m:r>
          <m:rPr>
            <m:sty m:val="p"/>
          </m:rPr>
          <m:t>+</m:t>
        </m:r>
        <m:r>
          <m:t>2.25</m:t>
        </m:r>
      </m:oMath>
      <w:r>
        <w:t xml:space="preserve"> </w:t>
      </w:r>
      <w:r>
        <w:t xml:space="preserve">per customer, a profit of about 225,000. The gap between forecast and outcome is therefore about 290,000 for a single campaign, and it has a sign that favors launching. The error is systematic, not noisy, so it does not average out over campaigns.</w:t>
      </w:r>
    </w:p>
    <w:p>
      <w:pPr>
        <w:pStyle w:val="BodyText"/>
      </w:pPr>
      <w:r>
        <w:rPr>
          <w:iCs/>
          <w:i/>
        </w:rPr>
        <w:t xml:space="preserve">False precision.</w:t>
      </w:r>
      <w:r>
        <w:t xml:space="preserve"> </w:t>
      </w:r>
      <w:r>
        <w:t xml:space="preserve">The simulated lifts often came with narrow intervals, and the intervals excluded the real value in most configurations. A system that reports a tight interval around a wrong number invites more confidence than one that reports a wide one. Statistical precision, which a synthetic population gives cheaply because the sample size is limited only by the budget for calls, must not be mistaken for validity.</w:t>
      </w:r>
    </w:p>
    <w:p>
      <w:pPr>
        <w:pStyle w:val="BodyText"/>
      </w:pP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The failure is then self-concealing. We did not observe this process, but it follows from the validation paradox, and it is the reason why we recommend that synthetic pre-tests be paired with a continuing stream of real tests and not substitute for it.</w:t>
      </w:r>
    </w:p>
    <w:p>
      <w:pPr>
        <w:pStyle w:val="BodyText"/>
      </w:pPr>
      <w:r>
        <w:rPr>
          <w:iCs/>
          <w:i/>
        </w:rPr>
        <w:t xml:space="preserve">Propagation.</w:t>
      </w:r>
      <w:r>
        <w:t xml:space="preserve"> </w:t>
      </w:r>
      <w:r>
        <w:t xml:space="preserve">Synthetic customers that are used as inputs to forecasts, budget models, or other learned systems carry their compressed spread with them. Concentration is lost (Proposition 3), the share of non-buyers is distorted, and the result enters downstream decisions as if it were observed data. The cost is then not one wrong decision but a bias built into the planning system, whose source is hard to trace afterward.</w:t>
      </w:r>
    </w:p>
    <w:p>
      <w:pPr>
        <w:pStyle w:val="BodyText"/>
      </w:pPr>
      <w:r>
        <w:rPr>
          <w:iCs/>
          <w:i/>
        </w:rPr>
        <w:t xml:space="preserve">Unassigned accountability.</w:t>
      </w:r>
      <w:r>
        <w:t xml:space="preserve"> </w:t>
      </w:r>
      <w:r>
        <w:t xml:space="preserve">When a decision rests on a vendor’s model, a prompt written by an analyst, and a calibration step maintained by another team, no one owns the error. The organization should assign responsibility for the acceptance test of Section 6.5 before the system is used, not after the first costly outcome. A digital twin that no one is accountable for validating is a liability presented as an asset.</w:t>
      </w:r>
    </w:p>
    <w:p>
      <w:pPr>
        <w:pStyle w:val="BodyText"/>
      </w:pPr>
      <w:r>
        <w:t xml:space="preserve">These risks do not argue against the technology. They argue against using it as a replacement for evidence rather than as a complement to it, and against purchasing decisions that are based on demonstrations of fluency and plausible averages, which are the properties our experiments show to be least informative about decision quality.</w:t>
      </w:r>
    </w:p>
    <w:bookmarkEnd w:id="59"/>
    <w:bookmarkStart w:id="60" w:name="X94616b3a30dccc1fe21684587130f01609b39ab"/>
    <w:p>
      <w:pPr>
        <w:pStyle w:val="Heading2"/>
      </w:pPr>
      <w:r>
        <w:t xml:space="preserve">6.5 Organizational implications: validating and using synthetic data in marketing analytics systems</w:t>
      </w:r>
    </w:p>
    <w:p>
      <w:pPr>
        <w:pStyle w:val="FirstParagraph"/>
      </w:pPr>
      <w:r>
        <w:t xml:space="preserve">The findings have implications for how organizations that run marketing analytics systems should treat synthetic customers. We state them as recommendations that follow from our evidence and from the artifact view; we did not test them in an organization.</w:t>
      </w:r>
    </w:p>
    <w:p>
      <w:pPr>
        <w:pStyle w:val="BodyText"/>
      </w:pPr>
      <w:r>
        <w:rPr>
          <w:iCs/>
          <w:i/>
        </w:rPr>
        <w:t xml:space="preserve">Treat validation as an acceptance gate, not an afterthought.</w:t>
      </w:r>
      <w:r>
        <w:t xml:space="preserve"> </w:t>
      </w:r>
      <w:r>
        <w:t xml:space="preserve">Before synthetic customers enter a planning process, the system should pass a standing acceptance test against the organization’s own history: level, variance-to-mean ratio, zero share, and, where a past randomized test exists, the absolute lift. The reference values come from the customer file and the experiment archive that the marketing analytics team already holds. This puts a concrete interface between two functions. The marketing team owns the reference data and the decision requirements, and the information systems team owns the pipeline, the model versions, and the calibration step.</w:t>
      </w:r>
    </w:p>
    <w:p>
      <w:pPr>
        <w:pStyle w:val="BodyText"/>
      </w:pPr>
      <w:r>
        <w:rPr>
          <w:iCs/>
          <w:i/>
        </w:rPr>
        <w:t xml:space="preserve">Re-validate when the model changes.</w:t>
      </w:r>
      <w:r>
        <w:t xml:space="preserve"> </w:t>
      </w:r>
      <w:r>
        <w:t xml:space="preserve">The eight models we tested differed widely in the same design, for example in the mean they implied and in how they reacted to a stated base rate, and the same model reacted differently to different prompt context. A vendor update or a switch of model or provider should therefore trigger the acceptance test again, in the same way that a schema change triggers regression tests in other systems. The same applies to changes in the prompt template.</w:t>
      </w:r>
    </w:p>
    <w:p>
      <w:pPr>
        <w:pStyle w:val="BodyText"/>
      </w:pPr>
      <w:r>
        <w:rPr>
          <w:iCs/>
          <w:i/>
        </w:rPr>
        <w:t xml:space="preserve">Use synthetic data where its errors do the least harm.</w:t>
      </w:r>
      <w:r>
        <w:t xml:space="preserve"> </w:t>
      </w:r>
      <w:r>
        <w:t xml:space="preserve">The designs we studied reproduced the sign of a promotion effect in nearly all cases, but not its size. Synthetic customers are therefore better suited to screening and ranking options, or to generating hypotheses, than to sizing a campaign or computing revenue. A randomized holdout test remains the standard for the latter, and the stylized example in Section 6.3 shows what is at risk if that standard is skipped.</w:t>
      </w:r>
    </w:p>
    <w:p>
      <w:pPr>
        <w:pStyle w:val="BodyText"/>
      </w:pPr>
      <w:r>
        <w:rPr>
          <w:iCs/>
          <w:i/>
        </w:rPr>
        <w:t xml:space="preserve">Keep synthetic data separate from real data.</w:t>
      </w:r>
      <w:r>
        <w:t xml:space="preserve"> </w:t>
      </w:r>
      <w:r>
        <w:t xml:space="preserve">Synthetic records that share a schema with customer records can end up in dashboards, forecasts, or training sets for other models, where their compressed spread is no longer visible. Provenance labels, separate storage, and a rule against pooling synthetic and real records in estimation are inexpensive safeguards. We did not study this risk empirically; it follows from the finding that the spread is the property that is lost.</w:t>
      </w:r>
    </w:p>
    <w:p>
      <w:pPr>
        <w:pStyle w:val="BodyText"/>
      </w:pPr>
      <w:r>
        <w:rPr>
          <w:iCs/>
          <w:i/>
        </w:rPr>
        <w:t xml:space="preserve">Weigh the savings against the cost of a wrong decision.</w:t>
      </w:r>
      <w:r>
        <w:t xml:space="preserve"> </w:t>
      </w:r>
      <w:r>
        <w:t xml:space="preserve">The runs themselves are cheap: about 25,600 calls cost under one US dollar with the least expensive models and about eleven US dollars with the most expensive of the four we priced, at list prices at the time of our runs. The relevant cost is therefore not the simulation but the decision made on its output, and the governance effort should be proportional to the value of that decision.</w:t>
      </w:r>
    </w:p>
    <w:p>
      <w:pPr>
        <w:pStyle w:val="BodyText"/>
      </w:pPr>
      <w:r>
        <w:rPr>
          <w:iCs/>
          <w:i/>
        </w:rPr>
        <w:t xml:space="preserve">Build the loop that corrects the system.</w:t>
      </w:r>
      <w:r>
        <w:t xml:space="preserve"> </w:t>
      </w:r>
      <w:r>
        <w:t xml:space="preserve">Each randomized test that the organization runs is also a calibration data point for its simulator. A system that stores the simulated and the realized lift for each past campaign can track its own bias over time and adjust the calibration step, which turns an occasional validation into a continuing feedback process.</w:t>
      </w:r>
    </w:p>
    <w:bookmarkEnd w:id="60"/>
    <w:bookmarkStart w:id="61" w:name="limitations-and-future-research"/>
    <w:p>
      <w:pPr>
        <w:pStyle w:val="Heading2"/>
      </w:pPr>
      <w:r>
        <w:t xml:space="preserve">6.6 Limitations and future research</w:t>
      </w:r>
    </w:p>
    <w:p>
      <w:pPr>
        <w:pStyle w:val="FirstParagraph"/>
      </w:pPr>
      <w:r>
        <w:t xml:space="preserve">The evidence is preliminary. Every design has one prompt wording, so our intervals capture the sampling of customers but not variation across prompts, and the email experiment for the five newer models rests on one seed. The three transaction settings were run on three seeds for all eight models, and the per-seed variance-to-mean ratios were stable for the direct and daily designs (median range 0.04 and 0.03 across seeds, at most 0.30), except in a few DeepSeek-V4-Pro cells where direct answers are overdispersed (ranges of up to 9.4). They varied more for the describe design (median range 0.9, at most 2.1) and the hybrid design (median 1.2, at most 4.2), so the counts of cells in which these designs match the reference should be read as approximate. We tested eight models in all four settings, five of them larger or more recent than the first three. Whether still larger or reasoning-enabled models collapse less, and whether the overstated purchase lifts persist there, remains open. The low-mean reference is a calibrated parametric distribution rather than the raw data, and the Complete Journey households are loyalty-card shoppers with relatively high purchase frequency. Richer personas built from real household demographics did not change the picture, but the demographics in these data explain almost none of the heterogeneity (</w:t>
      </w:r>
      <m:oMath>
        <m:sSup>
          <m:e>
            <m:r>
              <m:t>c</m:t>
            </m:r>
          </m:e>
          <m:sup>
            <m:r>
              <m:t>2</m:t>
            </m:r>
          </m:sup>
        </m:sSup>
        <m:r>
          <m:rPr>
            <m:sty m:val="p"/>
          </m:rPr>
          <m:t>/</m:t>
        </m:r>
        <m:r>
          <m:t>α</m:t>
        </m:r>
        <m:r>
          <m:rPr>
            <m:sty m:val="p"/>
          </m:rPr>
          <m:t>=</m:t>
        </m:r>
        <m:r>
          <m:t>0.01</m:t>
        </m:r>
      </m:oMath>
      <w:r>
        <w:t xml:space="preserve">), so that test marks the limit of observable personas rather than a limit of particular models; settings in which observable attributes, such as purchase histories, are more predictive of purchase frequency would be a stronger test of Proposition 1. In the Complete Journey data campaigns were targeted rather than randomized, so only the email experiment supports a causal comparison. Design C truncates its top bin, which lowers the dispersion it can reach; we quantified this ceiling but did not remove it. Public data may also be part of the models’ training data. Future work should evaluate the hybrid design with a calibrated mean, test prompts that elicit several candidate answers with probabilities, and use a randomized promotion data set with purchase counts, for example from a partner firm, so that the count-distribution and treatment-effect questions can be studied on the same customers.</w:t>
      </w:r>
    </w:p>
    <w:bookmarkEnd w:id="61"/>
    <w:bookmarkEnd w:id="62"/>
    <w:bookmarkStart w:id="63" w:name="conclusion"/>
    <w:p>
      <w:pPr>
        <w:pStyle w:val="Heading1"/>
      </w:pPr>
      <w:r>
        <w:t xml:space="preserve">7. Conclusion</w:t>
      </w:r>
    </w:p>
    <w:p>
      <w:pPr>
        <w:pStyle w:val="FirstParagraph"/>
      </w:pPr>
      <w:r>
        <w:t xml:space="preserve">Synthetic customers built from language models do not yet reproduce the shape of real purchase-count distributions or the size of real promotion effects. Direct and day-by-day designs collapse toward a single value whether the mean is 0.5, 4.8, or 7.8, and larger, more recent models do not change this; describing a distribution repairs part of the damage but loses zeros; and a hybrid that takes only the mean from the model matches the dispersion when that mean is accurate. In a randomized email test the models usually get the sign of the effect right, but the absolute lift in purchase probability is overstated in 15 of 16 configurations and similar treatments are not told apart. Practitioners who use synthetic customers should check dispersion and zero share against their own data, rely on the model for means only, and validate absolute effects before they act on them. For the design of such systems, the evidence points to separating the level, which the model can supply, from the spread, which must come from an external calibrated source, and to evaluating the artifact against the decision it is meant to support.</w:t>
      </w:r>
    </w:p>
    <w:bookmarkEnd w:id="63"/>
    <w:bookmarkStart w:id="64"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bookmarkEnd w:id="64"/>
    <w:bookmarkStart w:id="65" w:name="appendix-a.-prompt-templates"/>
    <w:p>
      <w:pPr>
        <w:pStyle w:val="Heading1"/>
      </w:pPr>
      <w:r>
        <w:t xml:space="preserve">Appendix A. Prompt Templates</w:t>
      </w:r>
    </w:p>
    <w:p>
      <w:pPr>
        <w:pStyle w:val="FirstParagraph"/>
      </w:pPr>
      <w:r>
        <w:t xml:space="preserve">Persona text, low-mean setting:</w:t>
      </w:r>
      <w:r>
        <w:t xml:space="preserve"> </w:t>
      </w:r>
      <w:r>
        <w:t xml:space="preserve">“</w:t>
      </w:r>
      <w:r>
        <w:t xml:space="preserve">You are a customer of an online giftware retailer. Profile: {segment}, age {age}, based in {country}. You made your first purchase 4 weeks ago.</w:t>
      </w:r>
      <w:r>
        <w:t xml:space="preserve">”</w:t>
      </w:r>
      <w:r>
        <w:t xml:space="preserve"> </w:t>
      </w:r>
      <w:r>
        <w:t xml:space="preserve">Anchored variant adds:</w:t>
      </w:r>
      <w:r>
        <w:t xml:space="preserve"> </w:t>
      </w:r>
      <w:r>
        <w:t xml:space="preserve">“</w:t>
      </w:r>
      <w:r>
        <w:t xml:space="preserve">Context: customers of this retailer make on average about 0.5 purchases per 4 weeks, and most make none.</w:t>
      </w:r>
      <w:r>
        <w:t xml:space="preserve">”</w:t>
      </w:r>
    </w:p>
    <w:p>
      <w:pPr>
        <w:pStyle w:val="BodyText"/>
      </w:pPr>
      <w:r>
        <w:t xml:space="preserve">Persona text, high-mean setting:</w:t>
      </w:r>
      <w:r>
        <w:t xml:space="preserve"> </w:t>
      </w:r>
      <w:r>
        <w:t xml:space="preserve">“</w:t>
      </w:r>
      <w:r>
        <w:t xml:space="preserve">You are a household with a loyalty card at a supermarket chain and you do part of your grocery shopping there. Profile: {segment}, head of household aged {age}, {household size} person(s).</w:t>
      </w:r>
      <w:r>
        <w:t xml:space="preserve">”</w:t>
      </w:r>
      <w:r>
        <w:t xml:space="preserve"> </w:t>
      </w:r>
      <w:r>
        <w:t xml:space="preserve">Anchored variant adds:</w:t>
      </w:r>
      <w:r>
        <w:t xml:space="preserve"> </w:t>
      </w:r>
      <w:r>
        <w:t xml:space="preserve">“</w:t>
      </w:r>
      <w:r>
        <w:t xml:space="preserve">Context: households in this loyalty program make on average about 5 shopping trips to the chain per 4 weeks, and some make none.</w:t>
      </w:r>
      <w:r>
        <w:t xml:space="preserve">”</w:t>
      </w:r>
    </w:p>
    <w:p>
      <w:pPr>
        <w:pStyle w:val="BodyText"/>
      </w:pPr>
      <w:r>
        <w:t xml:space="preserve">Questions. Design A:</w:t>
      </w:r>
      <w:r>
        <w:t xml:space="preserve"> </w:t>
      </w:r>
      <w:r>
        <w:t xml:space="preserve">“</w:t>
      </w:r>
      <w:r>
        <w:t xml:space="preserve">How many separate purchases will you make in the next 4 weeks? Answer with ONLY an integer.</w:t>
      </w:r>
      <w:r>
        <w:t xml:space="preserve">”</w:t>
      </w:r>
      <w:r>
        <w:t xml:space="preserve"> </w:t>
      </w:r>
      <w:r>
        <w:t xml:space="preserve">Design B:</w:t>
      </w:r>
      <w:r>
        <w:t xml:space="preserve"> </w:t>
      </w:r>
      <w:r>
        <w:t xml:space="preserve">“</w:t>
      </w:r>
      <w:r>
        <w:t xml:space="preserve">Week {w} of the next 4 weeks: for each of its 7 days decide whether you make a purchase that day. Reply with ONLY 7 comma-separated 0/1 values.</w:t>
      </w:r>
      <w:r>
        <w:t xml:space="preserve">”</w:t>
      </w:r>
      <w:r>
        <w:t xml:space="preserve"> </w:t>
      </w:r>
      <w:r>
        <w:t xml:space="preserve">Design C:</w:t>
      </w:r>
      <w:r>
        <w:t xml:space="preserve"> </w:t>
      </w:r>
      <w:r>
        <w:t xml:space="preserve">“</w:t>
      </w:r>
      <w:r>
        <w:t xml:space="preserve">Give the probabilities of making {bins} purchases in the next 4 weeks. Reply with ONLY JSON like {…} summing to 1.</w:t>
      </w:r>
      <w:r>
        <w:t xml:space="preserve">”</w:t>
      </w:r>
      <w:r>
        <w:t xml:space="preserve"> </w:t>
      </w:r>
      <w:r>
        <w:t xml:space="preserve">Design D:</w:t>
      </w:r>
      <w:r>
        <w:t xml:space="preserve"> </w:t>
      </w:r>
      <w:r>
        <w:t xml:space="preserve">“</w:t>
      </w:r>
      <w:r>
        <w:t xml:space="preserve">What is your expected average number of purchases per 4 weeks (can be fractional, e.g. 0.4)? Reply with ONLY a number.</w:t>
      </w:r>
      <w:r>
        <w:t xml:space="preserve">”</w:t>
      </w:r>
      <w:r>
        <w:t xml:space="preserve"> </w:t>
      </w:r>
      <w:r>
        <w:t xml:space="preserve">Email experiment: persona from the customer’s recency, 12-month spend, merchandise bought, area, new or existing status, and channel, followed by one of three sentences describing the email received, and</w:t>
      </w:r>
      <w:r>
        <w:t xml:space="preserve"> </w:t>
      </w:r>
      <w:r>
        <w:t xml:space="preserve">“</w:t>
      </w:r>
      <w:r>
        <w:t xml:space="preserve">What is the probability, from 0 to 100 percent, that you will {visit the retailer’s website / make a purchase from the retailer} during the next two weeks? Reply with ONLY a number.</w:t>
      </w:r>
      <w:r>
        <w:t xml:space="preserve">”</w:t>
      </w:r>
    </w:p>
    <w:bookmarkEnd w:id="65"/>
    <w:bookmarkStart w:id="66" w:name="appendix-b.-full-results"/>
    <w:p>
      <w:pPr>
        <w:pStyle w:val="Heading1"/>
      </w:pPr>
      <w:r>
        <w:t xml:space="preserve">Appendix B. Full Results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3.05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1.92*</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13.56*</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1.21*</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0.73</w:t>
            </w:r>
          </w:p>
        </w:tc>
        <w:tc>
          <w:tcPr/>
          <w:p>
            <w:pPr>
              <w:pStyle w:val="Compact"/>
              <w:spacing w:before="20" w:after="20" w:line="240" w:lineRule="auto"/>
              <w:ind w:firstLine="0"/>
              <w:jc w:val="left"/>
            </w:pPr>
            <w:r>
              <w:rPr>
                <w:rFonts w:ascii="Times New Roman" w:hAnsi="Times New Roman"/>
                <w:sz w:val="17"/>
              </w:rPr>
              <w:t xml:space="preserve">2.79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0.33*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1.17*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2.19*</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2.01*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-0.46*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1.61*</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0.42*</w:t>
            </w:r>
          </w:p>
        </w:tc>
        <w:tc>
          <w:tcPr/>
          <w:p>
            <w:pPr>
              <w:pStyle w:val="Compact"/>
              <w:spacing w:before="20" w:after="20" w:line="240" w:lineRule="auto"/>
              <w:ind w:firstLine="0"/>
              <w:jc w:val="left"/>
            </w:pPr>
            <w:r>
              <w:rPr>
                <w:rFonts w:ascii="Times New Roman" w:hAnsi="Times New Roman"/>
                <w:sz w:val="17"/>
              </w:rPr>
              <w:t xml:space="preserve">2.03*</w:t>
            </w:r>
          </w:p>
        </w:tc>
        <w:tc>
          <w:tcPr/>
          <w:p>
            <w:pPr>
              <w:pStyle w:val="Compact"/>
              <w:spacing w:before="20" w:after="20" w:line="240" w:lineRule="auto"/>
              <w:ind w:firstLine="0"/>
              <w:jc w:val="left"/>
            </w:pPr>
            <w:r>
              <w:rPr>
                <w:rFonts w:ascii="Times New Roman" w:hAnsi="Times New Roman"/>
                <w:sz w:val="17"/>
              </w:rPr>
              <w:t xml:space="preserve">0.75</w:t>
            </w:r>
          </w:p>
        </w:tc>
        <w:tc>
          <w:tcPr/>
          <w:p>
            <w:pPr>
              <w:pStyle w:val="Compact"/>
              <w:spacing w:before="20" w:after="20" w:line="240" w:lineRule="auto"/>
              <w:ind w:firstLine="0"/>
              <w:jc w:val="left"/>
            </w:pPr>
            <w:r>
              <w:rPr>
                <w:rFonts w:ascii="Times New Roman" w:hAnsi="Times New Roman"/>
                <w:sz w:val="17"/>
              </w:rPr>
              <w:t xml:space="preserve">2.43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1.24*</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0.40*</w:t>
            </w:r>
          </w:p>
        </w:tc>
        <w:tc>
          <w:tcPr/>
          <w:p>
            <w:pPr>
              <w:pStyle w:val="Compact"/>
              <w:spacing w:before="20" w:after="20" w:line="240" w:lineRule="auto"/>
              <w:ind w:firstLine="0"/>
              <w:jc w:val="left"/>
            </w:pPr>
            <w:r>
              <w:rPr>
                <w:rFonts w:ascii="Times New Roman" w:hAnsi="Times New Roman"/>
                <w:sz w:val="17"/>
              </w:rPr>
              <w:t xml:space="preserve">1.08*</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0.93*</w:t>
            </w:r>
          </w:p>
        </w:tc>
        <w:tc>
          <w:tcPr/>
          <w:p>
            <w:pPr>
              <w:pStyle w:val="Compact"/>
              <w:spacing w:before="20" w:after="20" w:line="240" w:lineRule="auto"/>
              <w:ind w:firstLine="0"/>
              <w:jc w:val="left"/>
            </w:pPr>
            <w:r>
              <w:rPr>
                <w:rFonts w:ascii="Times New Roman" w:hAnsi="Times New Roman"/>
                <w:sz w:val="17"/>
              </w:rPr>
              <w:t xml:space="preserve">3.38*</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2.57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1.64*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-0.49*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0.89*</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0.85*</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0.70*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2.90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2.95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1.14*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0.80*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2.04*</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2.09*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0.87*</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3.13*</w:t>
            </w:r>
          </w:p>
        </w:tc>
        <w:tc>
          <w:tcPr/>
          <w:p>
            <w:pPr>
              <w:pStyle w:val="Compact"/>
              <w:spacing w:before="20" w:after="20" w:line="240" w:lineRule="auto"/>
              <w:ind w:firstLine="0"/>
              <w:jc w:val="left"/>
            </w:pPr>
            <w:r>
              <w:rPr>
                <w:rFonts w:ascii="Times New Roman" w:hAnsi="Times New Roman"/>
                <w:sz w:val="17"/>
              </w:rPr>
              <w:t xml:space="preserve">2.95*</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0.62*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2.93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n/a</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n/a</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1.30*</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0.63*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0.39*</w:t>
            </w:r>
          </w:p>
        </w:tc>
        <w:tc>
          <w:tcPr/>
          <w:p>
            <w:pPr>
              <w:pStyle w:val="Compact"/>
              <w:spacing w:before="20" w:after="20" w:line="240" w:lineRule="auto"/>
              <w:ind w:firstLine="0"/>
              <w:jc w:val="left"/>
            </w:pPr>
            <w:r>
              <w:rPr>
                <w:rFonts w:ascii="Times New Roman" w:hAnsi="Times New Roman"/>
                <w:sz w:val="17"/>
              </w:rPr>
              <w:t xml:space="preserve">2.46</w:t>
            </w:r>
          </w:p>
        </w:tc>
        <w:tc>
          <w:tcPr/>
          <w:p>
            <w:pPr>
              <w:pStyle w:val="Compact"/>
              <w:spacing w:before="20" w:after="20" w:line="240" w:lineRule="auto"/>
              <w:ind w:firstLine="0"/>
              <w:jc w:val="left"/>
            </w:pPr>
            <w:r>
              <w:rPr>
                <w:rFonts w:ascii="Times New Roman" w:hAnsi="Times New Roman"/>
                <w:sz w:val="17"/>
              </w:rPr>
              <w:t xml:space="preserve">0.77</w:t>
            </w:r>
          </w:p>
        </w:tc>
        <w:tc>
          <w:tcPr/>
          <w:p>
            <w:pPr>
              <w:pStyle w:val="Compact"/>
              <w:spacing w:before="20" w:after="20" w:line="240" w:lineRule="auto"/>
              <w:ind w:firstLine="0"/>
              <w:jc w:val="left"/>
            </w:pPr>
            <w:r>
              <w:rPr>
                <w:rFonts w:ascii="Times New Roman" w:hAnsi="Times New Roman"/>
                <w:sz w:val="17"/>
              </w:rPr>
              <w:t xml:space="preserve">3.74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1.60*</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0.32*</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0.51</w:t>
            </w:r>
          </w:p>
        </w:tc>
        <w:tc>
          <w:tcPr/>
          <w:p>
            <w:pPr>
              <w:pStyle w:val="Compact"/>
              <w:spacing w:before="20" w:after="20" w:line="240" w:lineRule="auto"/>
              <w:ind w:firstLine="0"/>
              <w:jc w:val="left"/>
            </w:pPr>
            <w:r>
              <w:rPr>
                <w:rFonts w:ascii="Times New Roman" w:hAnsi="Times New Roman"/>
                <w:sz w:val="17"/>
              </w:rPr>
              <w:t xml:space="preserve">1.25*</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3.09</w:t>
            </w:r>
          </w:p>
        </w:tc>
        <w:tc>
          <w:tcPr/>
          <w:p>
            <w:pPr>
              <w:pStyle w:val="Compact"/>
              <w:spacing w:before="20" w:after="20" w:line="240" w:lineRule="auto"/>
              <w:ind w:firstLine="0"/>
              <w:jc w:val="left"/>
            </w:pPr>
            <w:r>
              <w:rPr>
                <w:rFonts w:ascii="Times New Roman" w:hAnsi="Times New Roman"/>
                <w:sz w:val="17"/>
              </w:rPr>
              <w:t xml:space="preserve">0.72</w:t>
            </w:r>
          </w:p>
        </w:tc>
        <w:tc>
          <w:tcPr/>
          <w:p>
            <w:pPr>
              <w:pStyle w:val="Compact"/>
              <w:spacing w:before="20" w:after="20" w:line="240" w:lineRule="auto"/>
              <w:ind w:firstLine="0"/>
              <w:jc w:val="left"/>
            </w:pPr>
            <w:r>
              <w:rPr>
                <w:rFonts w:ascii="Times New Roman" w:hAnsi="Times New Roman"/>
                <w:sz w:val="17"/>
              </w:rPr>
              <w:t xml:space="preserve">3.77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-0.86*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1.03*</w:t>
            </w:r>
          </w:p>
        </w:tc>
        <w:tc>
          <w:tcPr/>
          <w:p>
            <w:pPr>
              <w:pStyle w:val="Compact"/>
              <w:spacing w:before="20" w:after="20" w:line="240" w:lineRule="auto"/>
              <w:ind w:firstLine="0"/>
              <w:jc w:val="left"/>
            </w:pPr>
            <w:r>
              <w:rPr>
                <w:rFonts w:ascii="Times New Roman" w:hAnsi="Times New Roman"/>
                <w:sz w:val="17"/>
              </w:rPr>
              <w:t xml:space="preserve">0.62*</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2.37</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2.42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2.10*</w:t>
            </w:r>
          </w:p>
        </w:tc>
        <w:tc>
          <w:tcPr/>
          <w:p>
            <w:pPr>
              <w:pStyle w:val="Compact"/>
              <w:spacing w:before="20" w:after="20" w:line="240" w:lineRule="auto"/>
              <w:ind w:firstLine="0"/>
              <w:jc w:val="left"/>
            </w:pPr>
            <w:r>
              <w:rPr>
                <w:rFonts w:ascii="Times New Roman" w:hAnsi="Times New Roman"/>
                <w:sz w:val="17"/>
              </w:rPr>
              <w:t xml:space="preserve">14.72*</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6.54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4.73*</w:t>
            </w:r>
          </w:p>
        </w:tc>
        <w:tc>
          <w:tcPr/>
          <w:p>
            <w:pPr>
              <w:pStyle w:val="Compact"/>
              <w:spacing w:before="20" w:after="20" w:line="240" w:lineRule="auto"/>
              <w:ind w:firstLine="0"/>
              <w:jc w:val="left"/>
            </w:pPr>
            <w:r>
              <w:rPr>
                <w:rFonts w:ascii="Times New Roman" w:hAnsi="Times New Roman"/>
                <w:sz w:val="17"/>
              </w:rPr>
              <w:t xml:space="preserve">1.00*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1.34*</w:t>
            </w:r>
          </w:p>
        </w:tc>
        <w:tc>
          <w:tcPr/>
          <w:p>
            <w:pPr>
              <w:pStyle w:val="Compact"/>
              <w:spacing w:before="20" w:after="20" w:line="240" w:lineRule="auto"/>
              <w:ind w:firstLine="0"/>
              <w:jc w:val="left"/>
            </w:pPr>
            <w:r>
              <w:rPr>
                <w:rFonts w:ascii="Times New Roman" w:hAnsi="Times New Roman"/>
                <w:sz w:val="17"/>
              </w:rPr>
              <w:t xml:space="preserve">0.60*</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0.43</w:t>
            </w:r>
          </w:p>
        </w:tc>
        <w:tc>
          <w:tcPr/>
          <w:p>
            <w:pPr>
              <w:pStyle w:val="Compact"/>
              <w:spacing w:before="20" w:after="20" w:line="240" w:lineRule="auto"/>
              <w:ind w:firstLine="0"/>
              <w:jc w:val="left"/>
            </w:pPr>
            <w:r>
              <w:rPr>
                <w:rFonts w:ascii="Times New Roman" w:hAnsi="Times New Roman"/>
                <w:sz w:val="17"/>
              </w:rPr>
              <w:t xml:space="preserve">2.40</w:t>
            </w:r>
          </w:p>
        </w:tc>
        <w:tc>
          <w:tcPr/>
          <w:p>
            <w:pPr>
              <w:pStyle w:val="Compact"/>
              <w:spacing w:before="20" w:after="20" w:line="240" w:lineRule="auto"/>
              <w:ind w:firstLine="0"/>
              <w:jc w:val="left"/>
            </w:pPr>
            <w:r>
              <w:rPr>
                <w:rFonts w:ascii="Times New Roman" w:hAnsi="Times New Roman"/>
                <w:sz w:val="17"/>
              </w:rPr>
              <w:t xml:space="preserve">0.76</w:t>
            </w:r>
          </w:p>
        </w:tc>
        <w:tc>
          <w:tcPr/>
          <w:p>
            <w:pPr>
              <w:pStyle w:val="Compact"/>
              <w:spacing w:before="20" w:after="20" w:line="240" w:lineRule="auto"/>
              <w:ind w:firstLine="0"/>
              <w:jc w:val="left"/>
            </w:pPr>
            <w:r>
              <w:rPr>
                <w:rFonts w:ascii="Times New Roman" w:hAnsi="Times New Roman"/>
                <w:sz w:val="17"/>
              </w:rPr>
              <w:t xml:space="preserve">3.22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0.67*</w:t>
            </w:r>
          </w:p>
        </w:tc>
        <w:tc>
          <w:tcPr/>
          <w:p>
            <w:pPr>
              <w:pStyle w:val="Compact"/>
              <w:spacing w:before="20" w:after="20" w:line="240" w:lineRule="auto"/>
              <w:ind w:firstLine="0"/>
              <w:jc w:val="left"/>
            </w:pPr>
            <w:r>
              <w:rPr>
                <w:rFonts w:ascii="Times New Roman" w:hAnsi="Times New Roman"/>
                <w:sz w:val="17"/>
              </w:rPr>
              <w:t xml:space="preserve">-0.13*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0.50</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0.57*</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0.54</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0.61*</w:t>
            </w:r>
          </w:p>
        </w:tc>
        <w:tc>
          <w:tcPr/>
          <w:p>
            <w:pPr>
              <w:pStyle w:val="Compact"/>
              <w:spacing w:before="20" w:after="20" w:line="240" w:lineRule="auto"/>
              <w:ind w:firstLine="0"/>
              <w:jc w:val="left"/>
            </w:pPr>
            <w:r>
              <w:rPr>
                <w:rFonts w:ascii="Times New Roman" w:hAnsi="Times New Roman"/>
                <w:sz w:val="17"/>
              </w:rPr>
              <w:t xml:space="preserve">2.52</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2.49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1.05*</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0.29*</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3.51*</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1.26*</w:t>
            </w:r>
          </w:p>
        </w:tc>
        <w:tc>
          <w:tcPr/>
          <w:p>
            <w:pPr>
              <w:pStyle w:val="Compact"/>
              <w:spacing w:before="20" w:after="20" w:line="240" w:lineRule="auto"/>
              <w:ind w:firstLine="0"/>
              <w:jc w:val="left"/>
            </w:pPr>
            <w:r>
              <w:rPr>
                <w:rFonts w:ascii="Times New Roman" w:hAnsi="Times New Roman"/>
                <w:sz w:val="17"/>
              </w:rPr>
              <w:t xml:space="preserve">0.65*</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0.28*</w:t>
            </w:r>
          </w:p>
        </w:tc>
        <w:tc>
          <w:tcPr/>
          <w:p>
            <w:pPr>
              <w:pStyle w:val="Compact"/>
              <w:spacing w:before="20" w:after="20" w:line="240" w:lineRule="auto"/>
              <w:ind w:firstLine="0"/>
              <w:jc w:val="left"/>
            </w:pPr>
            <w:r>
              <w:rPr>
                <w:rFonts w:ascii="Times New Roman" w:hAnsi="Times New Roman"/>
                <w:sz w:val="17"/>
              </w:rPr>
              <w:t xml:space="preserve">1.62*</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2.27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0.70*</w:t>
            </w:r>
          </w:p>
        </w:tc>
        <w:tc>
          <w:tcPr/>
          <w:p>
            <w:pPr>
              <w:pStyle w:val="Compact"/>
              <w:spacing w:before="20" w:after="20" w:line="240" w:lineRule="auto"/>
              <w:ind w:firstLine="0"/>
              <w:jc w:val="left"/>
            </w:pPr>
            <w:r>
              <w:rPr>
                <w:rFonts w:ascii="Times New Roman" w:hAnsi="Times New Roman"/>
                <w:sz w:val="17"/>
              </w:rPr>
              <w:t xml:space="preserve">0.69*</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1.45*</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0.52</w:t>
            </w:r>
          </w:p>
        </w:tc>
        <w:tc>
          <w:tcPr/>
          <w:p>
            <w:pPr>
              <w:pStyle w:val="Compact"/>
              <w:spacing w:before="20" w:after="20" w:line="240" w:lineRule="auto"/>
              <w:ind w:firstLine="0"/>
              <w:jc w:val="left"/>
            </w:pPr>
            <w:r>
              <w:rPr>
                <w:rFonts w:ascii="Times New Roman" w:hAnsi="Times New Roman"/>
                <w:sz w:val="17"/>
              </w:rPr>
              <w:t xml:space="preserve">0.97*</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2.61</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2.74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1.04*</w:t>
            </w:r>
          </w:p>
        </w:tc>
        <w:tc>
          <w:tcPr/>
          <w:p>
            <w:pPr>
              <w:pStyle w:val="Compact"/>
              <w:spacing w:before="20" w:after="20" w:line="240" w:lineRule="auto"/>
              <w:ind w:firstLine="0"/>
              <w:jc w:val="left"/>
            </w:pPr>
            <w:r>
              <w:rPr>
                <w:rFonts w:ascii="Times New Roman" w:hAnsi="Times New Roman"/>
                <w:sz w:val="17"/>
              </w:rPr>
              <w:t xml:space="preserve">0.64*</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-0.35*</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5.06*</w:t>
            </w:r>
          </w:p>
        </w:tc>
        <w:tc>
          <w:tcPr/>
          <w:p>
            <w:pPr>
              <w:pStyle w:val="Compact"/>
              <w:spacing w:before="20" w:after="20" w:line="240" w:lineRule="auto"/>
              <w:ind w:firstLine="0"/>
              <w:jc w:val="left"/>
            </w:pPr>
            <w:r>
              <w:rPr>
                <w:rFonts w:ascii="Times New Roman" w:hAnsi="Times New Roman"/>
                <w:sz w:val="17"/>
              </w:rPr>
              <w:t xml:space="preserve">0.95*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0.96*</w:t>
            </w:r>
          </w:p>
        </w:tc>
        <w:tc>
          <w:tcPr/>
          <w:p>
            <w:pPr>
              <w:pStyle w:val="Compact"/>
              <w:spacing w:before="20" w:after="20" w:line="240" w:lineRule="auto"/>
              <w:ind w:firstLine="0"/>
              <w:jc w:val="left"/>
            </w:pPr>
            <w:r>
              <w:rPr>
                <w:rFonts w:ascii="Times New Roman" w:hAnsi="Times New Roman"/>
                <w:sz w:val="17"/>
              </w:rPr>
              <w:t xml:space="preserve">1.37*</w:t>
            </w:r>
          </w:p>
        </w:tc>
        <w:tc>
          <w:tcPr/>
          <w:p>
            <w:pPr>
              <w:pStyle w:val="Compact"/>
              <w:spacing w:before="20" w:after="20" w:line="240" w:lineRule="auto"/>
              <w:ind w:firstLine="0"/>
              <w:jc w:val="left"/>
            </w:pPr>
            <w:r>
              <w:rPr>
                <w:rFonts w:ascii="Times New Roman" w:hAnsi="Times New Roman"/>
                <w:sz w:val="17"/>
              </w:rPr>
              <w:t xml:space="preserve">0.45*</w:t>
            </w:r>
          </w:p>
        </w:tc>
        <w:tc>
          <w:tcPr/>
          <w:p>
            <w:pPr>
              <w:pStyle w:val="Compact"/>
              <w:spacing w:before="20" w:after="20" w:line="240" w:lineRule="auto"/>
              <w:ind w:firstLine="0"/>
              <w:jc w:val="left"/>
            </w:pPr>
            <w:r>
              <w:rPr>
                <w:rFonts w:ascii="Times New Roman" w:hAnsi="Times New Roman"/>
                <w:sz w:val="17"/>
              </w:rPr>
              <w:t xml:space="preserve">0.39*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1.47*</w:t>
            </w:r>
          </w:p>
        </w:tc>
        <w:tc>
          <w:tcPr/>
          <w:p>
            <w:pPr>
              <w:pStyle w:val="Compact"/>
              <w:spacing w:before="20" w:after="20" w:line="240" w:lineRule="auto"/>
              <w:ind w:firstLine="0"/>
              <w:jc w:val="left"/>
            </w:pPr>
            <w:r>
              <w:rPr>
                <w:rFonts w:ascii="Times New Roman" w:hAnsi="Times New Roman"/>
                <w:sz w:val="17"/>
              </w:rPr>
              <w:t xml:space="preserve">0.81*</w:t>
            </w:r>
          </w:p>
        </w:tc>
        <w:tc>
          <w:tcPr/>
          <w:p>
            <w:pPr>
              <w:pStyle w:val="Compact"/>
              <w:spacing w:before="20" w:after="20" w:line="240" w:lineRule="auto"/>
              <w:ind w:firstLine="0"/>
              <w:jc w:val="left"/>
            </w:pPr>
            <w:r>
              <w:rPr>
                <w:rFonts w:ascii="Times New Roman" w:hAnsi="Times New Roman"/>
                <w:sz w:val="17"/>
              </w:rPr>
              <w:t xml:space="preserve">1.81*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0.98*</w:t>
            </w:r>
          </w:p>
        </w:tc>
        <w:tc>
          <w:tcPr/>
          <w:p>
            <w:pPr>
              <w:pStyle w:val="Compact"/>
              <w:spacing w:before="20" w:after="20" w:line="240" w:lineRule="auto"/>
              <w:ind w:firstLine="0"/>
              <w:jc w:val="left"/>
            </w:pPr>
            <w:r>
              <w:rPr>
                <w:rFonts w:ascii="Times New Roman" w:hAnsi="Times New Roman"/>
                <w:sz w:val="17"/>
              </w:rPr>
              <w:t xml:space="preserve">-0.89*</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0.48</w:t>
            </w:r>
          </w:p>
        </w:tc>
        <w:tc>
          <w:tcPr/>
          <w:p>
            <w:pPr>
              <w:pStyle w:val="Compact"/>
              <w:spacing w:before="20" w:after="20" w:line="240" w:lineRule="auto"/>
              <w:ind w:firstLine="0"/>
              <w:jc w:val="left"/>
            </w:pPr>
            <w:r>
              <w:rPr>
                <w:rFonts w:ascii="Times New Roman" w:hAnsi="Times New Roman"/>
                <w:sz w:val="17"/>
              </w:rPr>
              <w:t xml:space="preserve">0.99*</w:t>
            </w:r>
          </w:p>
        </w:tc>
        <w:tc>
          <w:tcPr/>
          <w:p>
            <w:pPr>
              <w:pStyle w:val="Compact"/>
              <w:spacing w:before="20" w:after="20" w:line="240" w:lineRule="auto"/>
              <w:ind w:firstLine="0"/>
              <w:jc w:val="left"/>
            </w:pPr>
            <w:r>
              <w:rPr>
                <w:rFonts w:ascii="Times New Roman" w:hAnsi="Times New Roman"/>
                <w:sz w:val="17"/>
              </w:rPr>
              <w:t xml:space="preserve">0.63*</w:t>
            </w:r>
          </w:p>
        </w:tc>
        <w:tc>
          <w:tcPr/>
          <w:p>
            <w:pPr>
              <w:pStyle w:val="Compact"/>
              <w:spacing w:before="20" w:after="20" w:line="240" w:lineRule="auto"/>
              <w:ind w:firstLine="0"/>
              <w:jc w:val="left"/>
            </w:pPr>
            <w:r>
              <w:rPr>
                <w:rFonts w:ascii="Times New Roman" w:hAnsi="Times New Roman"/>
                <w:sz w:val="17"/>
              </w:rPr>
              <w:t xml:space="preserve">-0.03*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0.56*</w:t>
            </w:r>
          </w:p>
        </w:tc>
        <w:tc>
          <w:tcPr/>
          <w:p>
            <w:pPr>
              <w:pStyle w:val="Compact"/>
              <w:spacing w:before="20" w:after="20" w:line="240" w:lineRule="auto"/>
              <w:ind w:firstLine="0"/>
              <w:jc w:val="left"/>
            </w:pPr>
            <w:r>
              <w:rPr>
                <w:rFonts w:ascii="Times New Roman" w:hAnsi="Times New Roman"/>
                <w:sz w:val="17"/>
              </w:rPr>
              <w:t xml:space="preserve">1.13*</w:t>
            </w:r>
          </w:p>
        </w:tc>
        <w:tc>
          <w:tcPr/>
          <w:p>
            <w:pPr>
              <w:pStyle w:val="Compact"/>
              <w:spacing w:before="20" w:after="20" w:line="240" w:lineRule="auto"/>
              <w:ind w:firstLine="0"/>
              <w:jc w:val="left"/>
            </w:pPr>
            <w:r>
              <w:rPr>
                <w:rFonts w:ascii="Times New Roman" w:hAnsi="Times New Roman"/>
                <w:sz w:val="17"/>
              </w:rPr>
              <w:t xml:space="preserve">0.59*</w:t>
            </w:r>
          </w:p>
        </w:tc>
        <w:tc>
          <w:tcPr/>
          <w:p>
            <w:pPr>
              <w:pStyle w:val="Compact"/>
              <w:spacing w:before="20" w:after="20" w:line="240" w:lineRule="auto"/>
              <w:ind w:firstLine="0"/>
              <w:jc w:val="left"/>
            </w:pPr>
            <w:r>
              <w:rPr>
                <w:rFonts w:ascii="Times New Roman" w:hAnsi="Times New Roman"/>
                <w:sz w:val="17"/>
              </w:rPr>
              <w:t xml:space="preserve">0.23*</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0.47</w:t>
            </w:r>
          </w:p>
        </w:tc>
        <w:tc>
          <w:tcPr/>
          <w:p>
            <w:pPr>
              <w:pStyle w:val="Compact"/>
              <w:spacing w:before="20" w:after="20" w:line="240" w:lineRule="auto"/>
              <w:ind w:firstLine="0"/>
              <w:jc w:val="left"/>
            </w:pPr>
            <w:r>
              <w:rPr>
                <w:rFonts w:ascii="Times New Roman" w:hAnsi="Times New Roman"/>
                <w:sz w:val="17"/>
              </w:rPr>
              <w:t xml:space="preserve">2.05</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2.25</w:t>
            </w:r>
          </w:p>
        </w:tc>
      </w:tr>
    </w:tbl>
    <w:p>
      <w:pPr>
        <w:pStyle w:val="BodyText"/>
        <w:spacing w:line="240" w:lineRule="auto"/>
        <w:ind w:firstLine="0"/>
      </w:pPr>
      <w:r>
        <w:rPr>
          <w:iCs/>
          <w:i/>
        </w:rPr>
        <w:t xml:space="preserve">Table B1. Low-mean setting, per cell. Reference row: negative binomial with mean 0.49 and alpha 3.05. * the 95% bootstrap interval excludes the reference value. Temperatures are pooled for GPT-4o-mini and Llama.</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1.42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16.45*</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5.37*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9.02</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1.22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16.65*</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5.46*</w:t>
            </w:r>
          </w:p>
        </w:tc>
        <w:tc>
          <w:tcPr/>
          <w:p>
            <w:pPr>
              <w:pStyle w:val="Compact"/>
              <w:spacing w:before="20" w:after="20" w:line="240" w:lineRule="auto"/>
              <w:ind w:firstLine="0"/>
              <w:jc w:val="left"/>
            </w:pPr>
            <w:r>
              <w:rPr>
                <w:rFonts w:ascii="Times New Roman" w:hAnsi="Times New Roman"/>
                <w:sz w:val="17"/>
              </w:rPr>
              <w:t xml:space="preserve">6.44*</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1.00*</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8.73</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1.45</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9.86*</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7.32*</w:t>
            </w:r>
          </w:p>
        </w:tc>
        <w:tc>
          <w:tcPr/>
          <w:p>
            <w:pPr>
              <w:pStyle w:val="Compact"/>
              <w:spacing w:before="20" w:after="20" w:line="240" w:lineRule="auto"/>
              <w:ind w:firstLine="0"/>
              <w:jc w:val="left"/>
            </w:pPr>
            <w:r>
              <w:rPr>
                <w:rFonts w:ascii="Times New Roman" w:hAnsi="Times New Roman"/>
                <w:sz w:val="17"/>
              </w:rPr>
              <w:t xml:space="preserve">4.85*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6.06*</w:t>
            </w:r>
          </w:p>
        </w:tc>
        <w:tc>
          <w:tcPr/>
          <w:p>
            <w:pPr>
              <w:pStyle w:val="Compact"/>
              <w:spacing w:before="20" w:after="20" w:line="240" w:lineRule="auto"/>
              <w:ind w:firstLine="0"/>
              <w:jc w:val="left"/>
            </w:pPr>
            <w:r>
              <w:rPr>
                <w:rFonts w:ascii="Times New Roman" w:hAnsi="Times New Roman"/>
                <w:sz w:val="17"/>
              </w:rPr>
              <w:t xml:space="preserve">9.06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1.33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3.73*</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7.03*</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6.49*</w:t>
            </w:r>
          </w:p>
        </w:tc>
        <w:tc>
          <w:tcPr/>
          <w:p>
            <w:pPr>
              <w:pStyle w:val="Compact"/>
              <w:spacing w:before="20" w:after="20" w:line="240" w:lineRule="auto"/>
              <w:ind w:firstLine="0"/>
              <w:jc w:val="left"/>
            </w:pPr>
            <w:r>
              <w:rPr>
                <w:rFonts w:ascii="Times New Roman" w:hAnsi="Times New Roman"/>
                <w:sz w:val="17"/>
              </w:rPr>
              <w:t xml:space="preserve">5.76*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4.26*</w:t>
            </w:r>
          </w:p>
        </w:tc>
        <w:tc>
          <w:tcPr/>
          <w:p>
            <w:pPr>
              <w:pStyle w:val="Compact"/>
              <w:spacing w:before="20" w:after="20" w:line="240" w:lineRule="auto"/>
              <w:ind w:firstLine="0"/>
              <w:jc w:val="left"/>
            </w:pPr>
            <w:r>
              <w:rPr>
                <w:rFonts w:ascii="Times New Roman" w:hAnsi="Times New Roman"/>
                <w:sz w:val="17"/>
              </w:rPr>
              <w:t xml:space="preserve">5.90</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1.15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7.71*</w:t>
            </w:r>
          </w:p>
        </w:tc>
        <w:tc>
          <w:tcPr/>
          <w:p>
            <w:pPr>
              <w:pStyle w:val="Compact"/>
              <w:spacing w:before="20" w:after="20" w:line="240" w:lineRule="auto"/>
              <w:ind w:firstLine="0"/>
              <w:jc w:val="left"/>
            </w:pPr>
            <w:r>
              <w:rPr>
                <w:rFonts w:ascii="Times New Roman" w:hAnsi="Times New Roman"/>
                <w:sz w:val="17"/>
              </w:rPr>
              <w:t xml:space="preserve">0.24*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9.93*</w:t>
            </w:r>
          </w:p>
        </w:tc>
        <w:tc>
          <w:tcPr/>
          <w:p>
            <w:pPr>
              <w:pStyle w:val="Compact"/>
              <w:spacing w:before="20" w:after="20" w:line="240" w:lineRule="auto"/>
              <w:ind w:firstLine="0"/>
              <w:jc w:val="left"/>
            </w:pPr>
            <w:r>
              <w:rPr>
                <w:rFonts w:ascii="Times New Roman" w:hAnsi="Times New Roman"/>
                <w:sz w:val="17"/>
              </w:rPr>
              <w:t xml:space="preserve">0.25*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6.16*</w:t>
            </w:r>
          </w:p>
        </w:tc>
        <w:tc>
          <w:tcPr/>
          <w:p>
            <w:pPr>
              <w:pStyle w:val="Compact"/>
              <w:spacing w:before="20" w:after="20" w:line="240" w:lineRule="auto"/>
              <w:ind w:firstLine="0"/>
              <w:jc w:val="left"/>
            </w:pPr>
            <w:r>
              <w:rPr>
                <w:rFonts w:ascii="Times New Roman" w:hAnsi="Times New Roman"/>
                <w:sz w:val="17"/>
              </w:rPr>
              <w:t xml:space="preserve">4.13*</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0.51*</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1.35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9.47*</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5.66*</w:t>
            </w:r>
          </w:p>
        </w:tc>
        <w:tc>
          <w:tcPr/>
          <w:p>
            <w:pPr>
              <w:pStyle w:val="Compact"/>
              <w:spacing w:before="20" w:after="20" w:line="240" w:lineRule="auto"/>
              <w:ind w:firstLine="0"/>
              <w:jc w:val="left"/>
            </w:pPr>
            <w:r>
              <w:rPr>
                <w:rFonts w:ascii="Times New Roman" w:hAnsi="Times New Roman"/>
                <w:sz w:val="17"/>
              </w:rPr>
              <w:t xml:space="preserve">5.82*</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0.85*</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3.66*</w:t>
            </w:r>
          </w:p>
        </w:tc>
        <w:tc>
          <w:tcPr/>
          <w:p>
            <w:pPr>
              <w:pStyle w:val="Compact"/>
              <w:spacing w:before="20" w:after="20" w:line="240" w:lineRule="auto"/>
              <w:ind w:firstLine="0"/>
              <w:jc w:val="left"/>
            </w:pPr>
            <w:r>
              <w:rPr>
                <w:rFonts w:ascii="Times New Roman" w:hAnsi="Times New Roman"/>
                <w:sz w:val="17"/>
              </w:rPr>
              <w:t xml:space="preserve">5.84*</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1.32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10.30*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7.15*</w:t>
            </w:r>
          </w:p>
        </w:tc>
        <w:tc>
          <w:tcPr/>
          <w:p>
            <w:pPr>
              <w:pStyle w:val="Compact"/>
              <w:spacing w:before="20" w:after="20" w:line="240" w:lineRule="auto"/>
              <w:ind w:firstLine="0"/>
              <w:jc w:val="left"/>
            </w:pPr>
            <w:r>
              <w:rPr>
                <w:rFonts w:ascii="Times New Roman" w:hAnsi="Times New Roman"/>
                <w:sz w:val="17"/>
              </w:rPr>
              <w:t xml:space="preserve">4.57*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5.58*</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1.43</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4.99*</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-0.19*</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4.42*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5.47*</w:t>
            </w:r>
          </w:p>
        </w:tc>
        <w:tc>
          <w:tcPr/>
          <w:p>
            <w:pPr>
              <w:pStyle w:val="Compact"/>
              <w:spacing w:before="20" w:after="20" w:line="240" w:lineRule="auto"/>
              <w:ind w:firstLine="0"/>
              <w:jc w:val="left"/>
            </w:pPr>
            <w:r>
              <w:rPr>
                <w:rFonts w:ascii="Times New Roman" w:hAnsi="Times New Roman"/>
                <w:sz w:val="17"/>
              </w:rPr>
              <w:t xml:space="preserve">8.99</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1.46</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6.76*</w:t>
            </w:r>
          </w:p>
        </w:tc>
        <w:tc>
          <w:tcPr/>
          <w:p>
            <w:pPr>
              <w:pStyle w:val="Compact"/>
              <w:spacing w:before="20" w:after="20" w:line="240" w:lineRule="auto"/>
              <w:ind w:firstLine="0"/>
              <w:jc w:val="left"/>
            </w:pPr>
            <w:r>
              <w:rPr>
                <w:rFonts w:ascii="Times New Roman" w:hAnsi="Times New Roman"/>
                <w:sz w:val="17"/>
              </w:rPr>
              <w:t xml:space="preserve">4.86*</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5.51*</w:t>
            </w:r>
          </w:p>
        </w:tc>
        <w:tc>
          <w:tcPr/>
          <w:p>
            <w:pPr>
              <w:pStyle w:val="Compact"/>
              <w:spacing w:before="20" w:after="20" w:line="240" w:lineRule="auto"/>
              <w:ind w:firstLine="0"/>
              <w:jc w:val="left"/>
            </w:pPr>
            <w:r>
              <w:rPr>
                <w:rFonts w:ascii="Times New Roman" w:hAnsi="Times New Roman"/>
                <w:sz w:val="17"/>
              </w:rPr>
              <w:t xml:space="preserve">8.72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1.40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4.88*</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4.35*</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4.12*</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5.02</w:t>
            </w:r>
          </w:p>
        </w:tc>
        <w:tc>
          <w:tcPr/>
          <w:p>
            <w:pPr>
              <w:pStyle w:val="Compact"/>
              <w:spacing w:before="20" w:after="20" w:line="240" w:lineRule="auto"/>
              <w:ind w:firstLine="0"/>
              <w:jc w:val="left"/>
            </w:pPr>
            <w:r>
              <w:rPr>
                <w:rFonts w:ascii="Times New Roman" w:hAnsi="Times New Roman"/>
                <w:sz w:val="17"/>
              </w:rPr>
              <w:t xml:space="preserve">8.62</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1.52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7.77*</w:t>
            </w:r>
          </w:p>
        </w:tc>
        <w:tc>
          <w:tcPr/>
          <w:p>
            <w:pPr>
              <w:pStyle w:val="Compact"/>
              <w:spacing w:before="20" w:after="20" w:line="240" w:lineRule="auto"/>
              <w:ind w:firstLine="0"/>
              <w:jc w:val="left"/>
            </w:pPr>
            <w:r>
              <w:rPr>
                <w:rFonts w:ascii="Times New Roman" w:hAnsi="Times New Roman"/>
                <w:sz w:val="17"/>
              </w:rPr>
              <w:t xml:space="preserve">1.10*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8.94*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5.81*</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7.65*</w:t>
            </w:r>
          </w:p>
        </w:tc>
        <w:tc>
          <w:tcPr/>
          <w:p>
            <w:pPr>
              <w:pStyle w:val="Compact"/>
              <w:spacing w:before="20" w:after="20" w:line="240" w:lineRule="auto"/>
              <w:ind w:firstLine="0"/>
              <w:jc w:val="left"/>
            </w:pPr>
            <w:r>
              <w:rPr>
                <w:rFonts w:ascii="Times New Roman" w:hAnsi="Times New Roman"/>
                <w:sz w:val="17"/>
              </w:rPr>
              <w:t xml:space="preserve">9.43</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1.10*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1.57*</w:t>
            </w:r>
          </w:p>
        </w:tc>
        <w:tc>
          <w:tcPr/>
          <w:p>
            <w:pPr>
              <w:pStyle w:val="Compact"/>
              <w:spacing w:before="20" w:after="20" w:line="240" w:lineRule="auto"/>
              <w:ind w:firstLine="0"/>
              <w:jc w:val="left"/>
            </w:pPr>
            <w:r>
              <w:rPr>
                <w:rFonts w:ascii="Times New Roman" w:hAnsi="Times New Roman"/>
                <w:sz w:val="17"/>
              </w:rPr>
              <w:t xml:space="preserve">0.01*</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6.83*</w:t>
            </w:r>
          </w:p>
        </w:tc>
        <w:tc>
          <w:tcPr/>
          <w:p>
            <w:pPr>
              <w:pStyle w:val="Compact"/>
              <w:spacing w:before="20" w:after="20" w:line="240" w:lineRule="auto"/>
              <w:ind w:firstLine="0"/>
              <w:jc w:val="left"/>
            </w:pPr>
            <w:r>
              <w:rPr>
                <w:rFonts w:ascii="Times New Roman" w:hAnsi="Times New Roman"/>
                <w:sz w:val="17"/>
              </w:rPr>
              <w:t xml:space="preserve">0.38*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5.33*</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7.61</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1.03*</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11.74*</w:t>
            </w:r>
          </w:p>
        </w:tc>
        <w:tc>
          <w:tcPr/>
          <w:p>
            <w:pPr>
              <w:pStyle w:val="Compact"/>
              <w:spacing w:before="20" w:after="20" w:line="240" w:lineRule="auto"/>
              <w:ind w:firstLine="0"/>
              <w:jc w:val="left"/>
            </w:pPr>
            <w:r>
              <w:rPr>
                <w:rFonts w:ascii="Times New Roman" w:hAnsi="Times New Roman"/>
                <w:sz w:val="17"/>
              </w:rPr>
              <w:t xml:space="preserve">0.35*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8.21*</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6.50*</w:t>
            </w:r>
          </w:p>
        </w:tc>
        <w:tc>
          <w:tcPr/>
          <w:p>
            <w:pPr>
              <w:pStyle w:val="Compact"/>
              <w:spacing w:before="20" w:after="20" w:line="240" w:lineRule="auto"/>
              <w:ind w:firstLine="0"/>
              <w:jc w:val="left"/>
            </w:pPr>
            <w:r>
              <w:rPr>
                <w:rFonts w:ascii="Times New Roman" w:hAnsi="Times New Roman"/>
                <w:sz w:val="17"/>
              </w:rPr>
              <w:t xml:space="preserve">3.65*</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0.41*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8.69*</w:t>
            </w:r>
          </w:p>
        </w:tc>
        <w:tc>
          <w:tcPr/>
          <w:p>
            <w:pPr>
              <w:pStyle w:val="Compact"/>
              <w:spacing w:before="20" w:after="20" w:line="240" w:lineRule="auto"/>
              <w:ind w:firstLine="0"/>
              <w:jc w:val="left"/>
            </w:pPr>
            <w:r>
              <w:rPr>
                <w:rFonts w:ascii="Times New Roman" w:hAnsi="Times New Roman"/>
                <w:sz w:val="17"/>
              </w:rPr>
              <w:t xml:space="preserve">12.15*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1.28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5.13*</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-0.18*</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7.48*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4.23*</w:t>
            </w:r>
          </w:p>
        </w:tc>
        <w:tc>
          <w:tcPr/>
          <w:p>
            <w:pPr>
              <w:pStyle w:val="Compact"/>
              <w:spacing w:before="20" w:after="20" w:line="240" w:lineRule="auto"/>
              <w:ind w:firstLine="0"/>
              <w:jc w:val="left"/>
            </w:pPr>
            <w:r>
              <w:rPr>
                <w:rFonts w:ascii="Times New Roman" w:hAnsi="Times New Roman"/>
                <w:sz w:val="17"/>
              </w:rPr>
              <w:t xml:space="preserve">3.75*</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0.65*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4.81</w:t>
            </w:r>
          </w:p>
        </w:tc>
        <w:tc>
          <w:tcPr/>
          <w:p>
            <w:pPr>
              <w:pStyle w:val="Compact"/>
              <w:spacing w:before="20" w:after="20" w:line="240" w:lineRule="auto"/>
              <w:ind w:firstLine="0"/>
              <w:jc w:val="left"/>
            </w:pPr>
            <w:r>
              <w:rPr>
                <w:rFonts w:ascii="Times New Roman" w:hAnsi="Times New Roman"/>
                <w:sz w:val="17"/>
              </w:rPr>
              <w:t xml:space="preserve">6.95</w:t>
            </w:r>
          </w:p>
        </w:tc>
        <w:tc>
          <w:tcPr/>
          <w:p>
            <w:pPr>
              <w:pStyle w:val="Compact"/>
              <w:spacing w:before="20" w:after="20" w:line="240" w:lineRule="auto"/>
              <w:ind w:firstLine="0"/>
              <w:jc w:val="left"/>
            </w:pPr>
            <w:r>
              <w:rPr>
                <w:rFonts w:ascii="Times New Roman" w:hAnsi="Times New Roman"/>
                <w:sz w:val="17"/>
              </w:rPr>
              <w:t xml:space="preserve">0.23*</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8.56*</w:t>
            </w:r>
          </w:p>
        </w:tc>
        <w:tc>
          <w:tcPr/>
          <w:p>
            <w:pPr>
              <w:pStyle w:val="Compact"/>
              <w:spacing w:before="20" w:after="20" w:line="240" w:lineRule="auto"/>
              <w:ind w:firstLine="0"/>
              <w:jc w:val="left"/>
            </w:pPr>
            <w:r>
              <w:rPr>
                <w:rFonts w:ascii="Times New Roman" w:hAnsi="Times New Roman"/>
                <w:sz w:val="17"/>
              </w:rPr>
              <w:t xml:space="preserve">2.45*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8.28*</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7.95*</w:t>
            </w:r>
          </w:p>
        </w:tc>
        <w:tc>
          <w:tcPr/>
          <w:p>
            <w:pPr>
              <w:pStyle w:val="Compact"/>
              <w:spacing w:before="20" w:after="20" w:line="240" w:lineRule="auto"/>
              <w:ind w:firstLine="0"/>
              <w:jc w:val="left"/>
            </w:pPr>
            <w:r>
              <w:rPr>
                <w:rFonts w:ascii="Times New Roman" w:hAnsi="Times New Roman"/>
                <w:sz w:val="17"/>
              </w:rPr>
              <w:t xml:space="preserve">4.75*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4.36*</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1.24</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4.90*</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-0.20*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8.26*</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4.98</w:t>
            </w:r>
          </w:p>
        </w:tc>
        <w:tc>
          <w:tcPr/>
          <w:p>
            <w:pPr>
              <w:pStyle w:val="Compact"/>
              <w:spacing w:before="20" w:after="20" w:line="240" w:lineRule="auto"/>
              <w:ind w:firstLine="0"/>
              <w:jc w:val="left"/>
            </w:pPr>
            <w:r>
              <w:rPr>
                <w:rFonts w:ascii="Times New Roman" w:hAnsi="Times New Roman"/>
                <w:sz w:val="17"/>
              </w:rPr>
              <w:t xml:space="preserve">4.83*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0.77*</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3.63*</w:t>
            </w:r>
          </w:p>
        </w:tc>
        <w:tc>
          <w:tcPr/>
          <w:p>
            <w:pPr>
              <w:pStyle w:val="Compact"/>
              <w:spacing w:before="20" w:after="20" w:line="240" w:lineRule="auto"/>
              <w:ind w:firstLine="0"/>
              <w:jc w:val="left"/>
            </w:pPr>
            <w:r>
              <w:rPr>
                <w:rFonts w:ascii="Times New Roman" w:hAnsi="Times New Roman"/>
                <w:sz w:val="17"/>
              </w:rPr>
              <w:t xml:space="preserve">6.09*</w:t>
            </w:r>
          </w:p>
        </w:tc>
        <w:tc>
          <w:tcPr/>
          <w:p>
            <w:pPr>
              <w:pStyle w:val="Compact"/>
              <w:spacing w:before="20" w:after="20" w:line="240" w:lineRule="auto"/>
              <w:ind w:firstLine="0"/>
              <w:jc w:val="left"/>
            </w:pPr>
            <w:r>
              <w:rPr>
                <w:rFonts w:ascii="Times New Roman" w:hAnsi="Times New Roman"/>
                <w:sz w:val="17"/>
              </w:rPr>
              <w:t xml:space="preserve">0.27*</w:t>
            </w:r>
          </w:p>
        </w:tc>
        <w:tc>
          <w:tcPr/>
          <w:p>
            <w:pPr>
              <w:pStyle w:val="Compact"/>
              <w:spacing w:before="20" w:after="20" w:line="240" w:lineRule="auto"/>
              <w:ind w:firstLine="0"/>
              <w:jc w:val="left"/>
            </w:pPr>
            <w:r>
              <w:rPr>
                <w:rFonts w:ascii="Times New Roman" w:hAnsi="Times New Roman"/>
                <w:sz w:val="17"/>
              </w:rPr>
              <w:t xml:space="preserve">1.40</w:t>
            </w:r>
          </w:p>
        </w:tc>
      </w:tr>
    </w:tbl>
    <w:p>
      <w:pPr>
        <w:pStyle w:val="BodyText"/>
        <w:spacing w:line="240" w:lineRule="auto"/>
        <w:ind w:firstLine="0"/>
      </w:pPr>
      <w:r>
        <w:rPr>
          <w:iCs/>
          <w:i/>
        </w:rPr>
        <w:t xml:space="preserve">Table B2. High-mean setting, 600 customers per cell. Reference row: empirical Complete Journey distribution. * the 95% bootstrap interval excludes the reference value.</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Model</w:t>
            </w:r>
          </w:p>
        </w:tc>
        <w:tc>
          <w:tcPr/>
          <w:p>
            <w:pPr>
              <w:pStyle w:val="Compact"/>
              <w:spacing w:before="20" w:after="20" w:line="240" w:lineRule="auto"/>
              <w:ind w:firstLine="0"/>
              <w:jc w:val="left"/>
            </w:pPr>
            <w:r>
              <w:rPr>
                <w:rFonts w:ascii="Times New Roman" w:hAnsi="Times New Roman"/>
                <w:b/>
                <w:sz w:val="17"/>
              </w:rPr>
              <w:t xml:space="preserve">Prompt</w:t>
            </w:r>
          </w:p>
        </w:tc>
        <w:tc>
          <w:tcPr/>
          <w:p>
            <w:pPr>
              <w:pStyle w:val="Compact"/>
              <w:spacing w:before="20" w:after="20" w:line="240" w:lineRule="auto"/>
              <w:ind w:firstLine="0"/>
              <w:jc w:val="left"/>
            </w:pPr>
            <w:r>
              <w:rPr>
                <w:rFonts w:ascii="Times New Roman" w:hAnsi="Times New Roman"/>
                <w:b/>
                <w:sz w:val="17"/>
              </w:rPr>
              <w:t xml:space="preserve">Design</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Alpha</w:t>
            </w:r>
          </w:p>
        </w:tc>
      </w:tr>
      <w:tr>
        <w:tc>
          <w:tcPr/>
          <w:p>
            <w:pPr>
              <w:pStyle w:val="Compact"/>
              <w:spacing w:before="20" w:after="20" w:line="240" w:lineRule="auto"/>
              <w:ind w:firstLine="0"/>
              <w:jc w:val="left"/>
            </w:pPr>
            <w:r>
              <w:rPr>
                <w:rFonts w:ascii="Times New Roman" w:hAnsi="Times New Roman"/>
                <w:sz w:val="17"/>
              </w:rPr>
              <w:t xml:space="preserve">Reference</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16.58*</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6.02*</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6.46*</w:t>
            </w:r>
          </w:p>
        </w:tc>
        <w:tc>
          <w:tcPr/>
          <w:p>
            <w:pPr>
              <w:pStyle w:val="Compact"/>
              <w:spacing w:before="20" w:after="20" w:line="240" w:lineRule="auto"/>
              <w:ind w:firstLine="0"/>
              <w:jc w:val="left"/>
            </w:pPr>
            <w:r>
              <w:rPr>
                <w:rFonts w:ascii="Times New Roman" w:hAnsi="Times New Roman"/>
                <w:sz w:val="17"/>
              </w:rPr>
              <w:t xml:space="preserve">5.68</w:t>
            </w:r>
          </w:p>
        </w:tc>
        <w:tc>
          <w:tcPr/>
          <w:p>
            <w:pPr>
              <w:pStyle w:val="Compact"/>
              <w:spacing w:before="20" w:after="20" w:line="240" w:lineRule="auto"/>
              <w:ind w:firstLine="0"/>
              <w:jc w:val="left"/>
            </w:pPr>
            <w:r>
              <w:rPr>
                <w:rFonts w:ascii="Times New Roman" w:hAnsi="Times New Roman"/>
                <w:sz w:val="17"/>
              </w:rPr>
              <w:t xml:space="preserve">0.08*</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17.21*</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-0.05*</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6.56*</w:t>
            </w:r>
          </w:p>
        </w:tc>
        <w:tc>
          <w:tcPr/>
          <w:p>
            <w:pPr>
              <w:pStyle w:val="Compact"/>
              <w:spacing w:before="20" w:after="20" w:line="240" w:lineRule="auto"/>
              <w:ind w:firstLine="0"/>
              <w:jc w:val="left"/>
            </w:pPr>
            <w:r>
              <w:rPr>
                <w:rFonts w:ascii="Times New Roman" w:hAnsi="Times New Roman"/>
                <w:sz w:val="17"/>
              </w:rPr>
              <w:t xml:space="preserve">5.22*</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0.64</w:t>
            </w:r>
          </w:p>
        </w:tc>
      </w:tr>
      <w:tr>
        <w:tc>
          <w:tcPr/>
          <w:p>
            <w:pPr>
              <w:pStyle w:val="Compact"/>
              <w:spacing w:before="20" w:after="20" w:line="240" w:lineRule="auto"/>
              <w:ind w:firstLine="0"/>
              <w:jc w:val="left"/>
            </w:pPr>
            <w:r>
              <w:rPr>
                <w:rFonts w:ascii="Times New Roman" w:hAnsi="Times New Roman"/>
                <w:sz w:val="17"/>
              </w:rPr>
              <w:t xml:space="preserve">GPT-4o-mini</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7.53</w:t>
            </w:r>
          </w:p>
        </w:tc>
        <w:tc>
          <w:tcPr/>
          <w:p>
            <w:pPr>
              <w:pStyle w:val="Compact"/>
              <w:spacing w:before="20" w:after="20" w:line="240" w:lineRule="auto"/>
              <w:ind w:firstLine="0"/>
              <w:jc w:val="left"/>
            </w:pPr>
            <w:r>
              <w:rPr>
                <w:rFonts w:ascii="Times New Roman" w:hAnsi="Times New Roman"/>
                <w:sz w:val="17"/>
              </w:rPr>
              <w:t xml:space="preserve">6.35</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7.98*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9.04*</w:t>
            </w:r>
          </w:p>
        </w:tc>
        <w:tc>
          <w:tcPr/>
          <w:p>
            <w:pPr>
              <w:pStyle w:val="Compact"/>
              <w:spacing w:before="20" w:after="20" w:line="240" w:lineRule="auto"/>
              <w:ind w:firstLine="0"/>
              <w:jc w:val="left"/>
            </w:pPr>
            <w:r>
              <w:rPr>
                <w:rFonts w:ascii="Times New Roman" w:hAnsi="Times New Roman"/>
                <w:sz w:val="17"/>
              </w:rPr>
              <w:t xml:space="preserve">0.18*</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6.80*</w:t>
            </w:r>
          </w:p>
        </w:tc>
        <w:tc>
          <w:tcPr/>
          <w:p>
            <w:pPr>
              <w:pStyle w:val="Compact"/>
              <w:spacing w:before="20" w:after="20" w:line="240" w:lineRule="auto"/>
              <w:ind w:firstLine="0"/>
              <w:jc w:val="left"/>
            </w:pPr>
            <w:r>
              <w:rPr>
                <w:rFonts w:ascii="Times New Roman" w:hAnsi="Times New Roman"/>
                <w:sz w:val="17"/>
              </w:rPr>
              <w:t xml:space="preserve">5.01*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0.59*</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4.91*</w:t>
            </w:r>
          </w:p>
        </w:tc>
        <w:tc>
          <w:tcPr/>
          <w:p>
            <w:pPr>
              <w:pStyle w:val="Compact"/>
              <w:spacing w:before="20" w:after="20" w:line="240" w:lineRule="auto"/>
              <w:ind w:firstLine="0"/>
              <w:jc w:val="left"/>
            </w:pPr>
            <w:r>
              <w:rPr>
                <w:rFonts w:ascii="Times New Roman" w:hAnsi="Times New Roman"/>
                <w:sz w:val="17"/>
              </w:rPr>
              <w:t xml:space="preserve">4.60*</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6.05*</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-0.16*</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8.12*</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7.54</w:t>
            </w:r>
          </w:p>
        </w:tc>
        <w:tc>
          <w:tcPr/>
          <w:p>
            <w:pPr>
              <w:pStyle w:val="Compact"/>
              <w:spacing w:before="20" w:after="20" w:line="240" w:lineRule="auto"/>
              <w:ind w:firstLine="0"/>
              <w:jc w:val="left"/>
            </w:pPr>
            <w:r>
              <w:rPr>
                <w:rFonts w:ascii="Times New Roman" w:hAnsi="Times New Roman"/>
                <w:sz w:val="17"/>
              </w:rPr>
              <w:t xml:space="preserve">6.04</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0.67</w:t>
            </w:r>
          </w:p>
        </w:tc>
      </w:tr>
      <w:tr>
        <w:tc>
          <w:tcPr/>
          <w:p>
            <w:pPr>
              <w:pStyle w:val="Compact"/>
              <w:spacing w:before="20" w:after="20" w:line="240" w:lineRule="auto"/>
              <w:ind w:firstLine="0"/>
              <w:jc w:val="left"/>
            </w:pPr>
            <w:r>
              <w:rPr>
                <w:rFonts w:ascii="Times New Roman" w:hAnsi="Times New Roman"/>
                <w:sz w:val="17"/>
              </w:rPr>
              <w:t xml:space="preserve">Llama-3.3-70B</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6.15*</w:t>
            </w:r>
          </w:p>
        </w:tc>
        <w:tc>
          <w:tcPr/>
          <w:p>
            <w:pPr>
              <w:pStyle w:val="Compact"/>
              <w:spacing w:before="20" w:after="20" w:line="240" w:lineRule="auto"/>
              <w:ind w:firstLine="0"/>
              <w:jc w:val="left"/>
            </w:pPr>
            <w:r>
              <w:rPr>
                <w:rFonts w:ascii="Times New Roman" w:hAnsi="Times New Roman"/>
                <w:sz w:val="17"/>
              </w:rPr>
              <w:t xml:space="preserve">5.55</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8.02*</w:t>
            </w:r>
          </w:p>
        </w:tc>
        <w:tc>
          <w:tcPr/>
          <w:p>
            <w:pPr>
              <w:pStyle w:val="Compact"/>
              <w:spacing w:before="20" w:after="20" w:line="240" w:lineRule="auto"/>
              <w:ind w:firstLine="0"/>
              <w:jc w:val="left"/>
            </w:pPr>
            <w:r>
              <w:rPr>
                <w:rFonts w:ascii="Times New Roman" w:hAnsi="Times New Roman"/>
                <w:sz w:val="17"/>
              </w:rPr>
              <w:t xml:space="preserve">0.37*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11.72*</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6.42*</w:t>
            </w:r>
          </w:p>
        </w:tc>
        <w:tc>
          <w:tcPr/>
          <w:p>
            <w:pPr>
              <w:pStyle w:val="Compact"/>
              <w:spacing w:before="20" w:after="20" w:line="240" w:lineRule="auto"/>
              <w:ind w:firstLine="0"/>
              <w:jc w:val="left"/>
            </w:pPr>
            <w:r>
              <w:rPr>
                <w:rFonts w:ascii="Times New Roman" w:hAnsi="Times New Roman"/>
                <w:sz w:val="17"/>
              </w:rPr>
              <w:t xml:space="preserve">4.11*</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0.48*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5.14*</w:t>
            </w:r>
          </w:p>
        </w:tc>
        <w:tc>
          <w:tcPr/>
          <w:p>
            <w:pPr>
              <w:pStyle w:val="Compact"/>
              <w:spacing w:before="20" w:after="20" w:line="240" w:lineRule="auto"/>
              <w:ind w:firstLine="0"/>
              <w:jc w:val="left"/>
            </w:pPr>
            <w:r>
              <w:rPr>
                <w:rFonts w:ascii="Times New Roman" w:hAnsi="Times New Roman"/>
                <w:sz w:val="17"/>
              </w:rPr>
              <w:t xml:space="preserve">5.07*</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7.13*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11.06*</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7.49</w:t>
            </w:r>
          </w:p>
        </w:tc>
        <w:tc>
          <w:tcPr/>
          <w:p>
            <w:pPr>
              <w:pStyle w:val="Compact"/>
              <w:spacing w:before="20" w:after="20" w:line="240" w:lineRule="auto"/>
              <w:ind w:firstLine="0"/>
              <w:jc w:val="left"/>
            </w:pPr>
            <w:r>
              <w:rPr>
                <w:rFonts w:ascii="Times New Roman" w:hAnsi="Times New Roman"/>
                <w:sz w:val="17"/>
              </w:rPr>
              <w:t xml:space="preserve">6.11</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0.68</w:t>
            </w:r>
          </w:p>
        </w:tc>
      </w:tr>
      <w:tr>
        <w:tc>
          <w:tcPr/>
          <w:p>
            <w:pPr>
              <w:pStyle w:val="Compact"/>
              <w:spacing w:before="20" w:after="20" w:line="240" w:lineRule="auto"/>
              <w:ind w:firstLine="0"/>
              <w:jc w:val="left"/>
            </w:pPr>
            <w:r>
              <w:rPr>
                <w:rFonts w:ascii="Times New Roman" w:hAnsi="Times New Roman"/>
                <w:sz w:val="17"/>
              </w:rPr>
              <w:t xml:space="preserve">Haiku 5.5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5.79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0.84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5.60*</w:t>
            </w:r>
          </w:p>
        </w:tc>
        <w:tc>
          <w:tcPr/>
          <w:p>
            <w:pPr>
              <w:pStyle w:val="Compact"/>
              <w:spacing w:before="20" w:after="20" w:line="240" w:lineRule="auto"/>
              <w:ind w:firstLine="0"/>
              <w:jc w:val="left"/>
            </w:pPr>
            <w:r>
              <w:rPr>
                <w:rFonts w:ascii="Times New Roman" w:hAnsi="Times New Roman"/>
                <w:sz w:val="17"/>
              </w:rPr>
              <w:t xml:space="preserve">0.17*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10.40*</w:t>
            </w:r>
          </w:p>
        </w:tc>
        <w:tc>
          <w:tcPr/>
          <w:p>
            <w:pPr>
              <w:pStyle w:val="Compact"/>
              <w:spacing w:before="20" w:after="20" w:line="240" w:lineRule="auto"/>
              <w:ind w:firstLine="0"/>
              <w:jc w:val="left"/>
            </w:pPr>
            <w:r>
              <w:rPr>
                <w:rFonts w:ascii="Times New Roman" w:hAnsi="Times New Roman"/>
                <w:sz w:val="17"/>
              </w:rPr>
              <w:t xml:space="preserve">0.20*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6.64*</w:t>
            </w:r>
          </w:p>
        </w:tc>
        <w:tc>
          <w:tcPr/>
          <w:p>
            <w:pPr>
              <w:pStyle w:val="Compact"/>
              <w:spacing w:before="20" w:after="20" w:line="240" w:lineRule="auto"/>
              <w:ind w:firstLine="0"/>
              <w:jc w:val="left"/>
            </w:pPr>
            <w:r>
              <w:rPr>
                <w:rFonts w:ascii="Times New Roman" w:hAnsi="Times New Roman"/>
                <w:sz w:val="17"/>
              </w:rPr>
              <w:t xml:space="preserve">4.66*</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4.80*</w:t>
            </w:r>
          </w:p>
        </w:tc>
        <w:tc>
          <w:tcPr/>
          <w:p>
            <w:pPr>
              <w:pStyle w:val="Compact"/>
              <w:spacing w:before="20" w:after="20" w:line="240" w:lineRule="auto"/>
              <w:ind w:firstLine="0"/>
              <w:jc w:val="left"/>
            </w:pPr>
            <w:r>
              <w:rPr>
                <w:rFonts w:ascii="Times New Roman" w:hAnsi="Times New Roman"/>
                <w:sz w:val="17"/>
              </w:rPr>
              <w:t xml:space="preserve">4.53*</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0.74</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10.16*</w:t>
            </w:r>
          </w:p>
        </w:tc>
        <w:tc>
          <w:tcPr/>
          <w:p>
            <w:pPr>
              <w:pStyle w:val="Compact"/>
              <w:spacing w:before="20" w:after="20" w:line="240" w:lineRule="auto"/>
              <w:ind w:firstLine="0"/>
              <w:jc w:val="left"/>
            </w:pPr>
            <w:r>
              <w:rPr>
                <w:rFonts w:ascii="Times New Roman" w:hAnsi="Times New Roman"/>
                <w:sz w:val="17"/>
              </w:rPr>
              <w:t xml:space="preserve">0.22*</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7.31*</w:t>
            </w:r>
          </w:p>
        </w:tc>
        <w:tc>
          <w:tcPr/>
          <w:p>
            <w:pPr>
              <w:pStyle w:val="Compact"/>
              <w:spacing w:before="20" w:after="20" w:line="240" w:lineRule="auto"/>
              <w:ind w:firstLine="0"/>
              <w:jc w:val="left"/>
            </w:pPr>
            <w:r>
              <w:rPr>
                <w:rFonts w:ascii="Times New Roman" w:hAnsi="Times New Roman"/>
                <w:sz w:val="17"/>
              </w:rPr>
              <w:t xml:space="preserve">5.04*</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0.55*</w:t>
            </w:r>
          </w:p>
        </w:tc>
      </w:tr>
      <w:tr>
        <w:tc>
          <w:tcPr/>
          <w:p>
            <w:pPr>
              <w:pStyle w:val="Compact"/>
              <w:spacing w:before="20" w:after="20" w:line="240" w:lineRule="auto"/>
              <w:ind w:firstLine="0"/>
              <w:jc w:val="left"/>
            </w:pPr>
            <w:r>
              <w:rPr>
                <w:rFonts w:ascii="Times New Roman" w:hAnsi="Times New Roman"/>
                <w:sz w:val="17"/>
              </w:rPr>
              <w:t xml:space="preserve">Sonnet 5</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6.87*</w:t>
            </w:r>
          </w:p>
        </w:tc>
        <w:tc>
          <w:tcPr/>
          <w:p>
            <w:pPr>
              <w:pStyle w:val="Compact"/>
              <w:spacing w:before="20" w:after="20" w:line="240" w:lineRule="auto"/>
              <w:ind w:firstLine="0"/>
              <w:jc w:val="left"/>
            </w:pPr>
            <w:r>
              <w:rPr>
                <w:rFonts w:ascii="Times New Roman" w:hAnsi="Times New Roman"/>
                <w:sz w:val="17"/>
              </w:rPr>
              <w:t xml:space="preserve">6.65</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0.82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7.89</w:t>
            </w:r>
          </w:p>
        </w:tc>
        <w:tc>
          <w:tcPr/>
          <w:p>
            <w:pPr>
              <w:pStyle w:val="Compact"/>
              <w:spacing w:before="20" w:after="20" w:line="240" w:lineRule="auto"/>
              <w:ind w:firstLine="0"/>
              <w:jc w:val="left"/>
            </w:pPr>
            <w:r>
              <w:rPr>
                <w:rFonts w:ascii="Times New Roman" w:hAnsi="Times New Roman"/>
                <w:sz w:val="17"/>
              </w:rPr>
              <w:t xml:space="preserve">0.14*</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8.37*</w:t>
            </w:r>
          </w:p>
        </w:tc>
        <w:tc>
          <w:tcPr/>
          <w:p>
            <w:pPr>
              <w:pStyle w:val="Compact"/>
              <w:spacing w:before="20" w:after="20" w:line="240" w:lineRule="auto"/>
              <w:ind w:firstLine="0"/>
              <w:jc w:val="left"/>
            </w:pPr>
            <w:r>
              <w:rPr>
                <w:rFonts w:ascii="Times New Roman" w:hAnsi="Times New Roman"/>
                <w:sz w:val="17"/>
              </w:rPr>
              <w:t xml:space="preserve">0.10*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7.00*</w:t>
            </w:r>
          </w:p>
        </w:tc>
        <w:tc>
          <w:tcPr/>
          <w:p>
            <w:pPr>
              <w:pStyle w:val="Compact"/>
              <w:spacing w:before="20" w:after="20" w:line="240" w:lineRule="auto"/>
              <w:ind w:firstLine="0"/>
              <w:jc w:val="left"/>
            </w:pPr>
            <w:r>
              <w:rPr>
                <w:rFonts w:ascii="Times New Roman" w:hAnsi="Times New Roman"/>
                <w:sz w:val="17"/>
              </w:rPr>
              <w:t xml:space="preserve">4.79*</w:t>
            </w:r>
          </w:p>
        </w:tc>
        <w:tc>
          <w:tcPr/>
          <w:p>
            <w:pPr>
              <w:pStyle w:val="Compact"/>
              <w:spacing w:before="20" w:after="20" w:line="240" w:lineRule="auto"/>
              <w:ind w:firstLine="0"/>
              <w:jc w:val="left"/>
            </w:pPr>
            <w:r>
              <w:rPr>
                <w:rFonts w:ascii="Times New Roman" w:hAnsi="Times New Roman"/>
                <w:sz w:val="17"/>
              </w:rPr>
              <w:t xml:space="preserve">0.05*</w:t>
            </w:r>
          </w:p>
        </w:tc>
        <w:tc>
          <w:tcPr/>
          <w:p>
            <w:pPr>
              <w:pStyle w:val="Compact"/>
              <w:spacing w:before="20" w:after="20" w:line="240" w:lineRule="auto"/>
              <w:ind w:firstLine="0"/>
              <w:jc w:val="left"/>
            </w:pPr>
            <w:r>
              <w:rPr>
                <w:rFonts w:ascii="Times New Roman" w:hAnsi="Times New Roman"/>
                <w:sz w:val="17"/>
              </w:rPr>
              <w:t xml:space="preserve">0.54*</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5.09*</w:t>
            </w:r>
          </w:p>
        </w:tc>
        <w:tc>
          <w:tcPr/>
          <w:p>
            <w:pPr>
              <w:pStyle w:val="Compact"/>
              <w:spacing w:before="20" w:after="20" w:line="240" w:lineRule="auto"/>
              <w:ind w:firstLine="0"/>
              <w:jc w:val="left"/>
            </w:pPr>
            <w:r>
              <w:rPr>
                <w:rFonts w:ascii="Times New Roman" w:hAnsi="Times New Roman"/>
                <w:sz w:val="17"/>
              </w:rPr>
              <w:t xml:space="preserve">4.69*</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7.60*</w:t>
            </w:r>
          </w:p>
        </w:tc>
        <w:tc>
          <w:tcPr/>
          <w:p>
            <w:pPr>
              <w:pStyle w:val="Compact"/>
              <w:spacing w:before="20" w:after="20" w:line="240" w:lineRule="auto"/>
              <w:ind w:firstLine="0"/>
              <w:jc w:val="left"/>
            </w:pPr>
            <w:r>
              <w:rPr>
                <w:rFonts w:ascii="Times New Roman" w:hAnsi="Times New Roman"/>
                <w:sz w:val="17"/>
              </w:rPr>
              <w:t xml:space="preserve">0.16*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5.92*</w:t>
            </w:r>
          </w:p>
        </w:tc>
        <w:tc>
          <w:tcPr/>
          <w:p>
            <w:pPr>
              <w:pStyle w:val="Compact"/>
              <w:spacing w:before="20" w:after="20" w:line="240" w:lineRule="auto"/>
              <w:ind w:firstLine="0"/>
              <w:jc w:val="left"/>
            </w:pPr>
            <w:r>
              <w:rPr>
                <w:rFonts w:ascii="Times New Roman" w:hAnsi="Times New Roman"/>
                <w:sz w:val="17"/>
              </w:rPr>
              <w:t xml:space="preserve">0.30*</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9.46*</w:t>
            </w:r>
          </w:p>
        </w:tc>
        <w:tc>
          <w:tcPr/>
          <w:p>
            <w:pPr>
              <w:pStyle w:val="Compact"/>
              <w:spacing w:before="20" w:after="20" w:line="240" w:lineRule="auto"/>
              <w:ind w:firstLine="0"/>
              <w:jc w:val="left"/>
            </w:pPr>
            <w:r>
              <w:rPr>
                <w:rFonts w:ascii="Times New Roman" w:hAnsi="Times New Roman"/>
                <w:sz w:val="17"/>
              </w:rPr>
              <w:t xml:space="preserve">5.71*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0.50*</w:t>
            </w:r>
          </w:p>
        </w:tc>
      </w:tr>
      <w:tr>
        <w:tc>
          <w:tcPr/>
          <w:p>
            <w:pPr>
              <w:pStyle w:val="Compact"/>
              <w:spacing w:before="20" w:after="20" w:line="240" w:lineRule="auto"/>
              <w:ind w:firstLine="0"/>
              <w:jc w:val="left"/>
            </w:pPr>
            <w:r>
              <w:rPr>
                <w:rFonts w:ascii="Times New Roman" w:hAnsi="Times New Roman"/>
                <w:sz w:val="17"/>
              </w:rPr>
              <w:t xml:space="preserve">GPT-5.6-terra</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7.17*</w:t>
            </w:r>
          </w:p>
        </w:tc>
        <w:tc>
          <w:tcPr/>
          <w:p>
            <w:pPr>
              <w:pStyle w:val="Compact"/>
              <w:spacing w:before="20" w:after="20" w:line="240" w:lineRule="auto"/>
              <w:ind w:firstLine="0"/>
              <w:jc w:val="left"/>
            </w:pPr>
            <w:r>
              <w:rPr>
                <w:rFonts w:ascii="Times New Roman" w:hAnsi="Times New Roman"/>
                <w:sz w:val="17"/>
              </w:rPr>
              <w:t xml:space="preserve">6.70</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0.79</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6.98*</w:t>
            </w:r>
          </w:p>
        </w:tc>
        <w:tc>
          <w:tcPr/>
          <w:p>
            <w:pPr>
              <w:pStyle w:val="Compact"/>
              <w:spacing w:before="20" w:after="20" w:line="240" w:lineRule="auto"/>
              <w:ind w:firstLine="0"/>
              <w:jc w:val="left"/>
            </w:pPr>
            <w:r>
              <w:rPr>
                <w:rFonts w:ascii="Times New Roman" w:hAnsi="Times New Roman"/>
                <w:sz w:val="17"/>
              </w:rPr>
              <w:t xml:space="preserve">1.15*</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0.02*</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8.57*</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5.78*</w:t>
            </w:r>
          </w:p>
        </w:tc>
        <w:tc>
          <w:tcPr/>
          <w:p>
            <w:pPr>
              <w:pStyle w:val="Compact"/>
              <w:spacing w:before="20" w:after="20" w:line="240" w:lineRule="auto"/>
              <w:ind w:firstLine="0"/>
              <w:jc w:val="left"/>
            </w:pPr>
            <w:r>
              <w:rPr>
                <w:rFonts w:ascii="Times New Roman" w:hAnsi="Times New Roman"/>
                <w:sz w:val="17"/>
              </w:rPr>
              <w:t xml:space="preserve">3.53*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0.44*</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5.83</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6.57*</w:t>
            </w:r>
          </w:p>
        </w:tc>
        <w:tc>
          <w:tcPr/>
          <w:p>
            <w:pPr>
              <w:pStyle w:val="Compact"/>
              <w:spacing w:before="20" w:after="20" w:line="240" w:lineRule="auto"/>
              <w:ind w:firstLine="0"/>
              <w:jc w:val="left"/>
            </w:pPr>
            <w:r>
              <w:rPr>
                <w:rFonts w:ascii="Times New Roman" w:hAnsi="Times New Roman"/>
                <w:sz w:val="17"/>
              </w:rPr>
              <w:t xml:space="preserve">0.53*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-0.07*</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7.06*</w:t>
            </w:r>
          </w:p>
        </w:tc>
        <w:tc>
          <w:tcPr/>
          <w:p>
            <w:pPr>
              <w:pStyle w:val="Compact"/>
              <w:spacing w:before="20" w:after="20" w:line="240" w:lineRule="auto"/>
              <w:ind w:firstLine="0"/>
              <w:jc w:val="left"/>
            </w:pPr>
            <w:r>
              <w:rPr>
                <w:rFonts w:ascii="Times New Roman" w:hAnsi="Times New Roman"/>
                <w:sz w:val="17"/>
              </w:rPr>
              <w:t xml:space="preserve">0.21*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7.09*</w:t>
            </w:r>
          </w:p>
        </w:tc>
        <w:tc>
          <w:tcPr/>
          <w:p>
            <w:pPr>
              <w:pStyle w:val="Compact"/>
              <w:spacing w:before="20" w:after="20" w:line="240" w:lineRule="auto"/>
              <w:ind w:firstLine="0"/>
              <w:jc w:val="left"/>
            </w:pPr>
            <w:r>
              <w:rPr>
                <w:rFonts w:ascii="Times New Roman" w:hAnsi="Times New Roman"/>
                <w:sz w:val="17"/>
              </w:rPr>
              <w:t xml:space="preserve">4.77*</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0.53*</w:t>
            </w:r>
          </w:p>
        </w:tc>
      </w:tr>
      <w:tr>
        <w:tc>
          <w:tcPr/>
          <w:p>
            <w:pPr>
              <w:pStyle w:val="Compact"/>
              <w:spacing w:before="20" w:after="20" w:line="240" w:lineRule="auto"/>
              <w:ind w:firstLine="0"/>
              <w:jc w:val="left"/>
            </w:pPr>
            <w:r>
              <w:rPr>
                <w:rFonts w:ascii="Times New Roman" w:hAnsi="Times New Roman"/>
                <w:sz w:val="17"/>
              </w:rPr>
              <w:t xml:space="preserve">DeepSeek-V4-Pro</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7.50</w:t>
            </w:r>
          </w:p>
        </w:tc>
        <w:tc>
          <w:tcPr/>
          <w:p>
            <w:pPr>
              <w:pStyle w:val="Compact"/>
              <w:spacing w:before="20" w:after="20" w:line="240" w:lineRule="auto"/>
              <w:ind w:firstLine="0"/>
              <w:jc w:val="left"/>
            </w:pPr>
            <w:r>
              <w:rPr>
                <w:rFonts w:ascii="Times New Roman" w:hAnsi="Times New Roman"/>
                <w:sz w:val="17"/>
              </w:rPr>
              <w:t xml:space="preserve">6.31</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10.25*</w:t>
            </w:r>
          </w:p>
        </w:tc>
        <w:tc>
          <w:tcPr/>
          <w:p>
            <w:pPr>
              <w:pStyle w:val="Compact"/>
              <w:spacing w:before="20" w:after="20" w:line="240" w:lineRule="auto"/>
              <w:ind w:firstLine="0"/>
              <w:jc w:val="left"/>
            </w:pPr>
            <w:r>
              <w:rPr>
                <w:rFonts w:ascii="Times New Roman" w:hAnsi="Times New Roman"/>
                <w:sz w:val="17"/>
              </w:rPr>
              <w:t xml:space="preserve">0.41*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-0.06*</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7.96*</w:t>
            </w:r>
          </w:p>
        </w:tc>
        <w:tc>
          <w:tcPr/>
          <w:p>
            <w:pPr>
              <w:pStyle w:val="Compact"/>
              <w:spacing w:before="20" w:after="20" w:line="240" w:lineRule="auto"/>
              <w:ind w:firstLine="0"/>
              <w:jc w:val="left"/>
            </w:pPr>
            <w:r>
              <w:rPr>
                <w:rFonts w:ascii="Times New Roman" w:hAnsi="Times New Roman"/>
                <w:sz w:val="17"/>
              </w:rPr>
              <w:t xml:space="preserve">0.06*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6.62*</w:t>
            </w:r>
          </w:p>
        </w:tc>
        <w:tc>
          <w:tcPr/>
          <w:p>
            <w:pPr>
              <w:pStyle w:val="Compact"/>
              <w:spacing w:before="20" w:after="20" w:line="240" w:lineRule="auto"/>
              <w:ind w:firstLine="0"/>
              <w:jc w:val="left"/>
            </w:pPr>
            <w:r>
              <w:rPr>
                <w:rFonts w:ascii="Times New Roman" w:hAnsi="Times New Roman"/>
                <w:sz w:val="17"/>
              </w:rPr>
              <w:t xml:space="preserve">3.44*</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0.37*</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7.41</w:t>
            </w:r>
          </w:p>
        </w:tc>
        <w:tc>
          <w:tcPr/>
          <w:p>
            <w:pPr>
              <w:pStyle w:val="Compact"/>
              <w:spacing w:before="20" w:after="20" w:line="240" w:lineRule="auto"/>
              <w:ind w:firstLine="0"/>
              <w:jc w:val="left"/>
            </w:pPr>
            <w:r>
              <w:rPr>
                <w:rFonts w:ascii="Times New Roman" w:hAnsi="Times New Roman"/>
                <w:sz w:val="17"/>
              </w:rPr>
              <w:t xml:space="preserve">6.53</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6.88*</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7.18*</w:t>
            </w:r>
          </w:p>
        </w:tc>
        <w:tc>
          <w:tcPr/>
          <w:p>
            <w:pPr>
              <w:pStyle w:val="Compact"/>
              <w:spacing w:before="20" w:after="20" w:line="240" w:lineRule="auto"/>
              <w:ind w:firstLine="0"/>
              <w:jc w:val="left"/>
            </w:pPr>
            <w:r>
              <w:rPr>
                <w:rFonts w:ascii="Times New Roman" w:hAnsi="Times New Roman"/>
                <w:sz w:val="17"/>
              </w:rPr>
              <w:t xml:space="preserve">0.13*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-0.12*</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6.07*</w:t>
            </w:r>
          </w:p>
        </w:tc>
        <w:tc>
          <w:tcPr/>
          <w:p>
            <w:pPr>
              <w:pStyle w:val="Compact"/>
              <w:spacing w:before="20" w:after="20" w:line="240" w:lineRule="auto"/>
              <w:ind w:firstLine="0"/>
              <w:jc w:val="left"/>
            </w:pPr>
            <w:r>
              <w:rPr>
                <w:rFonts w:ascii="Times New Roman" w:hAnsi="Times New Roman"/>
                <w:sz w:val="17"/>
              </w:rPr>
              <w:t xml:space="preserve">5.56*</w:t>
            </w:r>
          </w:p>
        </w:tc>
        <w:tc>
          <w:tcPr/>
          <w:p>
            <w:pPr>
              <w:pStyle w:val="Compact"/>
              <w:spacing w:before="20" w:after="20" w:line="240" w:lineRule="auto"/>
              <w:ind w:firstLine="0"/>
              <w:jc w:val="left"/>
            </w:pPr>
            <w:r>
              <w:rPr>
                <w:rFonts w:ascii="Times New Roman" w:hAnsi="Times New Roman"/>
                <w:sz w:val="17"/>
              </w:rPr>
              <w:t xml:space="preserve">0.12*</w:t>
            </w:r>
          </w:p>
        </w:tc>
        <w:tc>
          <w:tcPr/>
          <w:p>
            <w:pPr>
              <w:pStyle w:val="Compact"/>
              <w:spacing w:before="20" w:after="20" w:line="240" w:lineRule="auto"/>
              <w:ind w:firstLine="0"/>
              <w:jc w:val="left"/>
            </w:pPr>
            <w:r>
              <w:rPr>
                <w:rFonts w:ascii="Times New Roman" w:hAnsi="Times New Roman"/>
                <w:sz w:val="17"/>
              </w:rPr>
              <w:t xml:space="preserve">0.75</w:t>
            </w:r>
          </w:p>
        </w:tc>
      </w:tr>
      <w:tr>
        <w:tc>
          <w:tcPr/>
          <w:p>
            <w:pPr>
              <w:pStyle w:val="Compact"/>
              <w:spacing w:before="20" w:after="20" w:line="240" w:lineRule="auto"/>
              <w:ind w:firstLine="0"/>
              <w:jc w:val="left"/>
            </w:pPr>
            <w:r>
              <w:rPr>
                <w:rFonts w:ascii="Times New Roman" w:hAnsi="Times New Roman"/>
                <w:sz w:val="17"/>
              </w:rPr>
              <w:t xml:space="preserve">Gemini 3.1 Flash-Lite</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6.67*</w:t>
            </w:r>
          </w:p>
        </w:tc>
        <w:tc>
          <w:tcPr/>
          <w:p>
            <w:pPr>
              <w:pStyle w:val="Compact"/>
              <w:spacing w:before="20" w:after="20" w:line="240" w:lineRule="auto"/>
              <w:ind w:firstLine="0"/>
              <w:jc w:val="left"/>
            </w:pPr>
            <w:r>
              <w:rPr>
                <w:rFonts w:ascii="Times New Roman" w:hAnsi="Times New Roman"/>
                <w:sz w:val="17"/>
              </w:rPr>
              <w:t xml:space="preserve">5.80</w:t>
            </w:r>
          </w:p>
        </w:tc>
        <w:tc>
          <w:tcPr/>
          <w:p>
            <w:pPr>
              <w:pStyle w:val="Compact"/>
              <w:spacing w:before="20" w:after="20" w:line="240" w:lineRule="auto"/>
              <w:ind w:firstLine="0"/>
              <w:jc w:val="left"/>
            </w:pPr>
            <w:r>
              <w:rPr>
                <w:rFonts w:ascii="Times New Roman" w:hAnsi="Times New Roman"/>
                <w:sz w:val="17"/>
              </w:rPr>
              <w:t xml:space="preserve">0.09*</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9.24*</w:t>
            </w:r>
          </w:p>
        </w:tc>
        <w:tc>
          <w:tcPr/>
          <w:p>
            <w:pPr>
              <w:pStyle w:val="Compact"/>
              <w:spacing w:before="20" w:after="20" w:line="240" w:lineRule="auto"/>
              <w:ind w:firstLine="0"/>
              <w:jc w:val="left"/>
            </w:pPr>
            <w:r>
              <w:rPr>
                <w:rFonts w:ascii="Times New Roman" w:hAnsi="Times New Roman"/>
                <w:sz w:val="17"/>
              </w:rPr>
              <w:t xml:space="preserve">1.73*</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0.08*</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8.39*</w:t>
            </w:r>
          </w:p>
        </w:tc>
        <w:tc>
          <w:tcPr/>
          <w:p>
            <w:pPr>
              <w:pStyle w:val="Compact"/>
              <w:spacing w:before="20" w:after="20" w:line="240" w:lineRule="auto"/>
              <w:ind w:firstLine="0"/>
              <w:jc w:val="left"/>
            </w:pPr>
            <w:r>
              <w:rPr>
                <w:rFonts w:ascii="Times New Roman" w:hAnsi="Times New Roman"/>
                <w:sz w:val="17"/>
              </w:rPr>
              <w:t xml:space="preserve">0.07*</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7.04*</w:t>
            </w:r>
          </w:p>
        </w:tc>
        <w:tc>
          <w:tcPr/>
          <w:p>
            <w:pPr>
              <w:pStyle w:val="Compact"/>
              <w:spacing w:before="20" w:after="20" w:line="240" w:lineRule="auto"/>
              <w:ind w:firstLine="0"/>
              <w:jc w:val="left"/>
            </w:pPr>
            <w:r>
              <w:rPr>
                <w:rFonts w:ascii="Times New Roman" w:hAnsi="Times New Roman"/>
                <w:sz w:val="17"/>
              </w:rPr>
              <w:t xml:space="preserve">4.93*</w:t>
            </w:r>
          </w:p>
        </w:tc>
        <w:tc>
          <w:tcPr/>
          <w:p>
            <w:pPr>
              <w:pStyle w:val="Compact"/>
              <w:spacing w:before="20" w:after="20" w:line="240" w:lineRule="auto"/>
              <w:ind w:firstLine="0"/>
              <w:jc w:val="left"/>
            </w:pPr>
            <w:r>
              <w:rPr>
                <w:rFonts w:ascii="Times New Roman" w:hAnsi="Times New Roman"/>
                <w:sz w:val="17"/>
              </w:rPr>
              <w:t xml:space="preserve">0.04</w:t>
            </w:r>
          </w:p>
        </w:tc>
        <w:tc>
          <w:tcPr/>
          <w:p>
            <w:pPr>
              <w:pStyle w:val="Compact"/>
              <w:spacing w:before="20" w:after="20" w:line="240" w:lineRule="auto"/>
              <w:ind w:firstLine="0"/>
              <w:jc w:val="left"/>
            </w:pPr>
            <w:r>
              <w:rPr>
                <w:rFonts w:ascii="Times New Roman" w:hAnsi="Times New Roman"/>
                <w:sz w:val="17"/>
              </w:rPr>
              <w:t xml:space="preserve">0.56*</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plain</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4.28*</w:t>
            </w:r>
          </w:p>
        </w:tc>
        <w:tc>
          <w:tcPr/>
          <w:p>
            <w:pPr>
              <w:pStyle w:val="Compact"/>
              <w:spacing w:before="20" w:after="20" w:line="240" w:lineRule="auto"/>
              <w:ind w:firstLine="0"/>
              <w:jc w:val="left"/>
            </w:pPr>
            <w:r>
              <w:rPr>
                <w:rFonts w:ascii="Times New Roman" w:hAnsi="Times New Roman"/>
                <w:sz w:val="17"/>
              </w:rPr>
              <w:t xml:space="preserve">4.48*</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0.81</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A Direct</w:t>
            </w:r>
          </w:p>
        </w:tc>
        <w:tc>
          <w:tcPr/>
          <w:p>
            <w:pPr>
              <w:pStyle w:val="Compact"/>
              <w:spacing w:before="20" w:after="20" w:line="240" w:lineRule="auto"/>
              <w:ind w:firstLine="0"/>
              <w:jc w:val="left"/>
            </w:pPr>
            <w:r>
              <w:rPr>
                <w:rFonts w:ascii="Times New Roman" w:hAnsi="Times New Roman"/>
                <w:sz w:val="17"/>
              </w:rPr>
              <w:t xml:space="preserve">7.30*</w:t>
            </w:r>
          </w:p>
        </w:tc>
        <w:tc>
          <w:tcPr/>
          <w:p>
            <w:pPr>
              <w:pStyle w:val="Compact"/>
              <w:spacing w:before="20" w:after="20" w:line="240" w:lineRule="auto"/>
              <w:ind w:firstLine="0"/>
              <w:jc w:val="left"/>
            </w:pPr>
            <w:r>
              <w:rPr>
                <w:rFonts w:ascii="Times New Roman" w:hAnsi="Times New Roman"/>
                <w:sz w:val="17"/>
              </w:rPr>
              <w:t xml:space="preserve">0.26*</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B Daily</w:t>
            </w:r>
          </w:p>
        </w:tc>
        <w:tc>
          <w:tcPr/>
          <w:p>
            <w:pPr>
              <w:pStyle w:val="Compact"/>
              <w:spacing w:before="20" w:after="20" w:line="240" w:lineRule="auto"/>
              <w:ind w:firstLine="0"/>
              <w:jc w:val="left"/>
            </w:pPr>
            <w:r>
              <w:rPr>
                <w:rFonts w:ascii="Times New Roman" w:hAnsi="Times New Roman"/>
                <w:sz w:val="17"/>
              </w:rPr>
              <w:t xml:space="preserve">8.74*</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0.00*</w:t>
            </w:r>
          </w:p>
        </w:tc>
        <w:tc>
          <w:tcPr/>
          <w:p>
            <w:pPr>
              <w:pStyle w:val="Compact"/>
              <w:spacing w:before="20" w:after="20" w:line="240" w:lineRule="auto"/>
              <w:ind w:firstLine="0"/>
              <w:jc w:val="left"/>
            </w:pPr>
            <w:r>
              <w:rPr>
                <w:rFonts w:ascii="Times New Roman" w:hAnsi="Times New Roman"/>
                <w:sz w:val="17"/>
              </w:rPr>
              <w:t xml:space="preserve">-0.10*</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C Describe</w:t>
            </w:r>
          </w:p>
        </w:tc>
        <w:tc>
          <w:tcPr/>
          <w:p>
            <w:pPr>
              <w:pStyle w:val="Compact"/>
              <w:spacing w:before="20" w:after="20" w:line="240" w:lineRule="auto"/>
              <w:ind w:firstLine="0"/>
              <w:jc w:val="left"/>
            </w:pPr>
            <w:r>
              <w:rPr>
                <w:rFonts w:ascii="Times New Roman" w:hAnsi="Times New Roman"/>
                <w:sz w:val="17"/>
              </w:rPr>
              <w:t xml:space="preserve">6.18*</w:t>
            </w:r>
          </w:p>
        </w:tc>
        <w:tc>
          <w:tcPr/>
          <w:p>
            <w:pPr>
              <w:pStyle w:val="Compact"/>
              <w:spacing w:before="20" w:after="20" w:line="240" w:lineRule="auto"/>
              <w:ind w:firstLine="0"/>
              <w:jc w:val="left"/>
            </w:pPr>
            <w:r>
              <w:rPr>
                <w:rFonts w:ascii="Times New Roman" w:hAnsi="Times New Roman"/>
                <w:sz w:val="17"/>
              </w:rPr>
              <w:t xml:space="preserve">5.43*</w:t>
            </w:r>
          </w:p>
        </w:tc>
        <w:tc>
          <w:tcPr/>
          <w:p>
            <w:pPr>
              <w:pStyle w:val="Compact"/>
              <w:spacing w:before="20" w:after="20" w:line="240" w:lineRule="auto"/>
              <w:ind w:firstLine="0"/>
              <w:jc w:val="left"/>
            </w:pPr>
            <w:r>
              <w:rPr>
                <w:rFonts w:ascii="Times New Roman" w:hAnsi="Times New Roman"/>
                <w:sz w:val="17"/>
              </w:rPr>
              <w:t xml:space="preserve">0.15*</w:t>
            </w:r>
          </w:p>
        </w:tc>
        <w:tc>
          <w:tcPr/>
          <w:p>
            <w:pPr>
              <w:pStyle w:val="Compact"/>
              <w:spacing w:before="20" w:after="20" w:line="240" w:lineRule="auto"/>
              <w:ind w:firstLine="0"/>
              <w:jc w:val="left"/>
            </w:pPr>
            <w:r>
              <w:rPr>
                <w:rFonts w:ascii="Times New Roman" w:hAnsi="Times New Roman"/>
                <w:sz w:val="17"/>
              </w:rPr>
              <w:t xml:space="preserve">0.72</w:t>
            </w:r>
          </w:p>
        </w:tc>
      </w:tr>
      <w:tr>
        <w:tc>
          <w:tcPr/>
          <w:p>
            <w:pPr>
              <w:pStyle w:val="Compact"/>
              <w:spacing w:before="20" w:after="20" w:line="240" w:lineRule="auto"/>
              <w:ind w:firstLine="0"/>
              <w:jc w:val="left"/>
            </w:pPr>
            <w:r>
              <w:rPr>
                <w:rFonts w:ascii="Times New Roman" w:hAnsi="Times New Roman"/>
                <w:sz w:val="17"/>
              </w:rPr>
              <w:t xml:space="preserve">Mistral Large 4</w:t>
            </w:r>
          </w:p>
        </w:tc>
        <w:tc>
          <w:tcPr/>
          <w:p>
            <w:pPr>
              <w:pStyle w:val="Compact"/>
              <w:spacing w:before="20" w:after="20" w:line="240" w:lineRule="auto"/>
              <w:ind w:firstLine="0"/>
              <w:jc w:val="left"/>
            </w:pPr>
            <w:r>
              <w:rPr>
                <w:rFonts w:ascii="Times New Roman" w:hAnsi="Times New Roman"/>
                <w:sz w:val="17"/>
              </w:rPr>
              <w:t xml:space="preserve">anchored</w:t>
            </w:r>
          </w:p>
        </w:tc>
        <w:tc>
          <w:tcPr/>
          <w:p>
            <w:pPr>
              <w:pStyle w:val="Compact"/>
              <w:spacing w:before="20" w:after="20" w:line="240" w:lineRule="auto"/>
              <w:ind w:firstLine="0"/>
              <w:jc w:val="left"/>
            </w:pPr>
            <w:r>
              <w:rPr>
                <w:rFonts w:ascii="Times New Roman" w:hAnsi="Times New Roman"/>
                <w:sz w:val="17"/>
              </w:rPr>
              <w:t xml:space="preserve">D Hybrid</w:t>
            </w:r>
          </w:p>
        </w:tc>
        <w:tc>
          <w:tcPr/>
          <w:p>
            <w:pPr>
              <w:pStyle w:val="Compact"/>
              <w:spacing w:before="20" w:after="20" w:line="240" w:lineRule="auto"/>
              <w:ind w:firstLine="0"/>
              <w:jc w:val="left"/>
            </w:pPr>
            <w:r>
              <w:rPr>
                <w:rFonts w:ascii="Times New Roman" w:hAnsi="Times New Roman"/>
                <w:sz w:val="17"/>
              </w:rPr>
              <w:t xml:space="preserve">5.41*</w:t>
            </w:r>
          </w:p>
        </w:tc>
        <w:tc>
          <w:tcPr/>
          <w:p>
            <w:pPr>
              <w:pStyle w:val="Compact"/>
              <w:spacing w:before="20" w:after="20" w:line="240" w:lineRule="auto"/>
              <w:ind w:firstLine="0"/>
              <w:jc w:val="left"/>
            </w:pPr>
            <w:r>
              <w:rPr>
                <w:rFonts w:ascii="Times New Roman" w:hAnsi="Times New Roman"/>
                <w:sz w:val="17"/>
              </w:rPr>
              <w:t xml:space="preserve">5.11*</w:t>
            </w:r>
          </w:p>
        </w:tc>
        <w:tc>
          <w:tcPr/>
          <w:p>
            <w:pPr>
              <w:pStyle w:val="Compact"/>
              <w:spacing w:before="20" w:after="20" w:line="240" w:lineRule="auto"/>
              <w:ind w:firstLine="0"/>
              <w:jc w:val="left"/>
            </w:pPr>
            <w:r>
              <w:rPr>
                <w:rFonts w:ascii="Times New Roman" w:hAnsi="Times New Roman"/>
                <w:sz w:val="17"/>
              </w:rPr>
              <w:t xml:space="preserve">0.11*</w:t>
            </w:r>
          </w:p>
        </w:tc>
        <w:tc>
          <w:tcPr/>
          <w:p>
            <w:pPr>
              <w:pStyle w:val="Compact"/>
              <w:spacing w:before="20" w:after="20" w:line="240" w:lineRule="auto"/>
              <w:ind w:firstLine="0"/>
              <w:jc w:val="left"/>
            </w:pPr>
            <w:r>
              <w:rPr>
                <w:rFonts w:ascii="Times New Roman" w:hAnsi="Times New Roman"/>
                <w:sz w:val="17"/>
              </w:rPr>
              <w:t xml:space="preserve">0.76</w:t>
            </w:r>
          </w:p>
        </w:tc>
      </w:tr>
    </w:tbl>
    <w:p>
      <w:pPr>
        <w:pStyle w:val="BodyText"/>
        <w:spacing w:line="240" w:lineRule="auto"/>
        <w:ind w:firstLine="0"/>
      </w:pPr>
      <w:r>
        <w:rPr>
          <w:iCs/>
          <w:i/>
        </w:rPr>
        <w:t xml:space="preserve">Table B3. Persona experiment with real household demographics, 600 household-windows per cell. Reference row: real distribution of the 801 households (10,413 household-windows). * the 95% bootstrap interval excludes the reference value.</w:t>
      </w:r>
    </w:p>
    <w:bookmarkEnd w:id="66"/>
    <w:bookmarkStart w:id="67" w:name="appendix-c.-reproducibility"/>
    <w:p>
      <w:pPr>
        <w:pStyle w:val="Heading1"/>
      </w:pPr>
      <w:r>
        <w:t xml:space="preserve">Appendix C. Reproducibility</w:t>
      </w:r>
    </w:p>
    <w:p>
      <w:pPr>
        <w:pStyle w:val="FirstParagraph"/>
      </w:pPr>
      <w:r>
        <w:t xml:space="preserve">All code, the pilot grid runner, the demographic-ceiling script, the analysis scripts, and the tables and figures used here are in the project repository (</w:t>
      </w:r>
      <w:r>
        <w:rPr>
          <w:rStyle w:val="VerbatimChar"/>
        </w:rPr>
        <w:t xml:space="preserve">ooklee-sudo/fluffy-meme</w:t>
      </w:r>
      <w:r>
        <w:t xml:space="preserve">, folder</w:t>
      </w:r>
      <w:r>
        <w:t xml:space="preserve"> </w:t>
      </w:r>
      <w:r>
        <w:rPr>
          <w:rStyle w:val="VerbatimChar"/>
        </w:rPr>
        <w:t xml:space="preserve">llm-count-study</w:t>
      </w:r>
      <w:r>
        <w:t xml:space="preserve">). Raw model responses are saved with each run. Household-level Complete Journey data are not redistributed; the code reads them from the public package files.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2026-10-17T09:15:37Z</dcterms:created>
  <dcterms:modified xsi:type="dcterms:W3CDTF">2026-10-17T09:15:37Z</dcterms:modified>
</cp:coreProperties>
</file>

<file path=docProps/custom.xml><?xml version="1.0" encoding="utf-8"?>
<Properties xmlns="http://schemas.openxmlformats.org/officeDocument/2006/custom-properties" xmlns:vt="http://schemas.openxmlformats.org/officeDocument/2006/docPropsVTypes"/>
</file>