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LLM 합성 고객의 구매·방문 횟수 분포는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실제 포아송/음이항 분포를 재현하는가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2E5C8A"/>
          <w:sz w:val="26"/>
          <w:szCs w:val="26"/>
        </w:rPr>
        <w:t xml:space="preserve">연구계획서 및 예비 분석 결과</w:t>
      </w:r>
    </w:p>
    <w:p>
      <w:pPr>
        <w:pBdr>
          <w:bottom w:val="single" w:color="2E5C8A" w:sz="8" w:space="10"/>
        </w:pBdr>
        <w:spacing w:after="360"/>
        <w:jc w:val="center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2026년 10월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요약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LLM 기반 합성 고객은 마케팅 실험 전 사전 시뮬레이션 수단으로 제안되지만, 선행연구는 평점·선택·지불의사 같은 응답의 재현을 주로 평가했고 기간 내 구매 횟수(count data)의 분포 형태는 거의 검증하지 않았다(검색 범위 내 확인). 본 연구는 합성 고객의 구매 횟수 분포가 실제의 포아송/음이항 분포를 재현하는지 평가하고, 이질성 주입 방식의 보정을 제안한다.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예비 분석에서 공개 데이터(UCI Online Retail II, CDNOW) 모두 포아송이 거의 모든 구간에서 기각되고 음이항이 AIC 최선이었다. 실제 4주 구매 횟수는 평균 약 0.5, 영(0) 비율 약 0.7, 음이항 과산포 α 약 3이었다. 가짜 LLM(MockLLM)으로 구현한 시뮬레이션은 평가 파이프라인이 문헌상의 실패 양상을 탐지함을 보여주지만, 실제 LLM에 대한 결론은 아니다.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배경과 문제의식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합성 고객(silicon sample)의 응답 분산이 실제보다 좁아지는 분산 붕괴(mode collapse)가 반복 보고된다. 횟수 분포는 CLV·재구매 예측·예산 배분의 입력이므로 분포 형태가 틀리면 후속 의사결정 오류로 이어진다.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흐름</w:t>
            </w:r>
          </w:p>
        </w:tc>
        <w:tc>
          <w:tcPr>
            <w:tcW w:type="dxa" w:w="64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LLM 에이전트 마케팅 시뮬레이션</w:t>
            </w:r>
          </w:p>
        </w:tc>
        <w:tc>
          <w:tcPr>
            <w:tcW w:type="dxa" w:w="64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가상 마을에서 에이전트가 식당을 고르며 할인 전략을 실험(arXiv 2510.18155). 연령 편향이 한계.</w:t>
            </w:r>
          </w:p>
        </w:tc>
      </w:tr>
      <w:t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구매의향 설문 재현</w:t>
            </w:r>
          </w:p>
        </w:tc>
        <w:tc>
          <w:tcPr>
            <w:tcW w:type="dxa" w:w="64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텍스트 응답 매핑 시 인간 응답과 상관 약 90%(뉴스 요약 기준, 원문 확인 필요).</w:t>
            </w:r>
          </w:p>
        </w:tc>
      </w:tr>
      <w:t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분산 붕괴</w:t>
            </w:r>
          </w:p>
        </w:tc>
        <w:tc>
          <w:tcPr>
            <w:tcW w:type="dxa" w:w="64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독립 LLM 에이전트는 최빈 응답에 몰리고 유효 표본이 작다. 보정 시 과분산으로 넘어가기도 함(프리프린트).</w:t>
            </w:r>
          </w:p>
        </w:tc>
      </w:tr>
      <w:t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분포 서술 vs 표집</w:t>
            </w:r>
          </w:p>
        </w:tc>
        <w:tc>
          <w:tcPr>
            <w:tcW w:type="dxa" w:w="64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지시튜닝 모델은 분포를 서술할 수는 있으나 그 분포에서 표집하지 못함(프리프린트).</w:t>
            </w:r>
          </w:p>
        </w:tc>
      </w:tr>
      <w:tr>
        <w:tc>
          <w:tcPr>
            <w:tcW w:type="dxa" w:w="2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선호·지불의사</w:t>
            </w:r>
          </w:p>
        </w:tc>
        <w:tc>
          <w:tcPr>
            <w:tcW w:type="dxa" w:w="64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익숙한 속성은 재현하나 응답 분산이 지나치게 좁음(Horton; Brand et al.).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연구 질문과 가설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연구 질문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RQ1. 합성 고객의 기간당 구매 횟수 분포는 실제와 평균·분산·영 비율·꼬리에서 일치하는가?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RQ2. 분산 붕괴가 count data에서는 낮은 분산/평균비(과소분산)와 영 비율 왜곡으로 나타나는가?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RQ3. 프롬프트·표집 설계가 재현도를 바꾸는가?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RQ4. 합성 고객으로 추정한 프로모션 효과(IRR)가 실제 실험과 방향·크기에서 일치하는가?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가설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H1: 순진한 페르소나 시뮬레이션은 실제보다 분산/평균비가 작고 영 비율이 왜곡된다.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H2: 실제 데이터는 음이항(과분산)이 우세하나 LLM 데이터는 포아송에 가깝거나 그보다 좁다.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H3: 외부 감마 분포로 고객별 λ를 주입하는 하이브리드가 순수 LLM 방식보다 재현도가 높다.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H4: 처치 효과의 방향은 재현되나 크기는 과대(또는 과소)추정된다.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H5(신규): 평균 구매 횟수가 낮은 환경일수록 직접 응답 방식은 응답이 0/1/2로 반올림되어 과소분산이 되고 효과를 과대추정한다.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연구 설계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3.1 합성 고객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126"/>
      </w:tblGrid>
      <w:tr>
        <w:trPr>
          <w:tblHeader/>
        </w:trP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31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예상 실패/강점</w:t>
            </w:r>
          </w:p>
        </w:tc>
      </w:tr>
      <w:t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 직접 응답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페르소나에 “4주간 몇 번 구매?”</w:t>
            </w:r>
          </w:p>
        </w:tc>
        <w:tc>
          <w:tcPr>
            <w:tcW w:type="dxa" w:w="31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라운드 숫자 쏠림, 영 비율 과소</w:t>
            </w:r>
          </w:p>
        </w:tc>
      </w:tr>
      <w:t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 일별 시뮬레이션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28일 각각 구매 여부 결정 후 합산</w:t>
            </w:r>
          </w:p>
        </w:tc>
        <w:tc>
          <w:tcPr>
            <w:tcW w:type="dxa" w:w="31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독립 베르누이 → 포아송형, 이질성 부재</w:t>
            </w:r>
          </w:p>
        </w:tc>
      </w:tr>
      <w:t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 서술 후 표집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모델이 분포를 서술, 외부 난수로 추출</w:t>
            </w:r>
          </w:p>
        </w:tc>
        <w:tc>
          <w:tcPr>
            <w:tcW w:type="dxa" w:w="31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서술된 분산이 실제보다 작음</w:t>
            </w:r>
          </w:p>
        </w:tc>
      </w:tr>
      <w:t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 하이브리드</w:t>
            </w:r>
          </w:p>
        </w:tc>
        <w:tc>
          <w:tcPr>
            <w:tcW w:type="dxa" w:w="3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외부 감마로 λᵢ 주입(파일럿 모멘트 추정), LLM은 맥락 평균 담당</w:t>
            </w:r>
          </w:p>
        </w:tc>
        <w:tc>
          <w:tcPr>
            <w:tcW w:type="dxa" w:w="31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분포 형태 재현 기대, 파일럿 필요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모델 2~3종 × 온도 3수준 × 조건당 5회 반복을 계획한다.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3.2 평가 지표와 통계 분석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요약: 평균, 분산, 분산/평균비, 영 비율, 상위 10% 구매 점유율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거리: Wasserstein, KS, Jensen–Shannon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적합도: 포아송/NB/ZIP의 AIC, Cameron–Trivedi 과산포 검정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효과: 포아송 GLM(robust SE)의 IRR 비교, 부트스트랩 CI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혼합효과 모형으로 모델·프롬프트·온도 효과를 분해하고 다중비교를 보정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3.3 타당성 위협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데이터 누수: 공개 데이터가 사전학습에 포함됐을 수 있어 비공개/최근 데이터를 병행한다.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이중 계산: 페르소나 평균이 세그먼트 간 분산을 이미 담으므로 이질성은 세그먼트 내 모멘트로 추정해야 한다(시뮬레이션에서 확인).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비용: 파일럿 1,000명으로 시작한다.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실제 데이터 프로파일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고객별 4주 구매 횟수(고유 인보이스/구매일, 취소 제외, 영 포함)를 집계했다. Retail II는 첫 3개월 안에 첫 구매한 1,714명, CDNOW는 1997년 1분기 첫 구매 코호트 2,357명이다.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1300"/>
        <w:gridCol w:w="1326"/>
      </w:tblGrid>
      <w:tr>
        <w:trPr>
          <w:tblHeader/>
        </w:trP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데이터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4주 평균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 비율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분산/평균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NB α</w:t>
            </w:r>
          </w:p>
        </w:tc>
        <w:tc>
          <w:tcPr>
            <w:tcW w:type="dxa" w:w="13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최적 모형</w:t>
            </w:r>
          </w:p>
        </w:tc>
      </w:tr>
      <w:t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Retail II (7개 구간)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0.42–0.51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0.68–0.73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2.1–4.2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2.3–7.3</w:t>
            </w:r>
          </w:p>
        </w:tc>
        <w:tc>
          <w:tcPr>
            <w:tcW w:type="dxa" w:w="13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음이항</w:t>
            </w:r>
          </w:p>
        </w:tc>
      </w:tr>
      <w:t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CDNOW 4주 (7개 구간)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0.09–0.14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0.89–0.93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1.3–1.5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3.0–5.9</w:t>
            </w:r>
          </w:p>
        </w:tc>
        <w:tc>
          <w:tcPr>
            <w:tcW w:type="dxa" w:w="13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음이항</w:t>
            </w:r>
          </w:p>
        </w:tc>
      </w:tr>
      <w:tr>
        <w:tc>
          <w:tcPr>
            <w:tcW w:type="dxa" w:w="2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CDNOW 39주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0.64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13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음이항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포아송이 기각되지 않은 구간은 Retail II 마지막 구간(p=0.053) 하나뿐이어서 과분산은 일관되게 나타난다.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분산/평균은 평균에 따라 달라진다(= 1 + α·평균). 데이터 간 비교에는 α=(분산−평균)/평균²를 써야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상위 10% 점유율은 영 비율이 높으면 의미가 퇴화한다(CDNOW 4주는 1.0). 평균이 충분히 큰 구간에서만 해석한다.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초기 시뮬레이션 기본 설정(평균 1.85, 영 0.45, α 2.4)은 실제와 어긋나 있어 Retail II 기준(평균 0.49, 영 0.73, α 3.05)으로 재보정했다.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예비 시뮬레이션 결과 (MockLLM)</w:t>
      </w:r>
    </w:p>
    <w:p>
      <w:pPr>
        <w:pBdr>
          <w:left w:val="single" w:color="2E5C8A" w:sz="18" w:space="8"/>
        </w:pBdr>
        <w:shd w:fill="F1F4F8" w:val="clear"/>
        <w:spacing w:after="120"/>
        <w:ind w:left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주의: MockLLM은 문헌상의 실패 양상(라운드 숫자 쏠림, 독립 일별 결정, 과소 서술 분산)을 가정으로 구현한 것이다. 아래 결과는 평가 파이프라인의 검증이며 실제 LLM에 대한 결론이 아니다.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5.1 초기 설정 (실제 분산/평균 5.77, 영 0.45)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200"/>
        <w:gridCol w:w="1500"/>
        <w:gridCol w:w="1400"/>
        <w:gridCol w:w="1226"/>
      </w:tblGrid>
      <w:tr>
        <w:trPr>
          <w:tblHeader/>
        </w:trPr>
        <w:tc>
          <w:tcPr>
            <w:tcW w:type="dxa" w:w="2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분산/평균</w:t>
            </w:r>
          </w:p>
        </w:tc>
        <w:tc>
          <w:tcPr>
            <w:tcW w:type="dxa" w:w="1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 비율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상위10% 점유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Wasserstein</w:t>
            </w:r>
          </w:p>
        </w:tc>
        <w:tc>
          <w:tcPr>
            <w:tcW w:type="dxa" w:w="1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JS</w:t>
            </w:r>
          </w:p>
        </w:tc>
      </w:tr>
      <w:tr>
        <w:tc>
          <w:tcPr>
            <w:tcW w:type="dxa" w:w="2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실제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5.77</w:t>
            </w:r>
          </w:p>
        </w:tc>
        <w:tc>
          <w:tcPr>
            <w:tcW w:type="dxa" w:w="1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0.45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0.51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 직접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1.60</w:t>
            </w:r>
          </w:p>
        </w:tc>
        <w:tc>
          <w:tcPr>
            <w:tcW w:type="dxa" w:w="1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0.31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0.96</w:t>
            </w:r>
          </w:p>
        </w:tc>
        <w:tc>
          <w:tcPr>
            <w:tcW w:type="dxa" w:w="1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0.47</w:t>
            </w:r>
          </w:p>
        </w:tc>
      </w:tr>
      <w:tr>
        <w:tc>
          <w:tcPr>
            <w:tcW w:type="dxa" w:w="2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 일별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2.51</w:t>
            </w:r>
          </w:p>
        </w:tc>
        <w:tc>
          <w:tcPr>
            <w:tcW w:type="dxa" w:w="1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0.35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0.73</w:t>
            </w:r>
          </w:p>
        </w:tc>
        <w:tc>
          <w:tcPr>
            <w:tcW w:type="dxa" w:w="1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0.18</w:t>
            </w:r>
          </w:p>
        </w:tc>
      </w:tr>
      <w:tr>
        <w:tc>
          <w:tcPr>
            <w:tcW w:type="dxa" w:w="2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 서술→표집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3.16</w:t>
            </w:r>
          </w:p>
        </w:tc>
        <w:tc>
          <w:tcPr>
            <w:tcW w:type="dxa" w:w="1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0.28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0.38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0.59</w:t>
            </w:r>
          </w:p>
        </w:tc>
        <w:tc>
          <w:tcPr>
            <w:tcW w:type="dxa" w:w="1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</w:tr>
      <w:tr>
        <w:tc>
          <w:tcPr>
            <w:tcW w:type="dxa" w:w="2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 하이브리드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6.60</w:t>
            </w:r>
          </w:p>
        </w:tc>
        <w:tc>
          <w:tcPr>
            <w:tcW w:type="dxa" w:w="1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1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000250"/>
            <wp:effectExtent t="0" r="0" b="0" l="0"/>
            <wp:docPr id="1" name="fig_distribution_dispersion.png" descr="그림 1. 구매 횟수 분포와 분산/평균비 (초기 설정)" title="그림 1. 구매 횟수 분포와 분산/평균비 (초기 설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그림 1. 구매 횟수 분포와 분산/평균비 (초기 설정)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D의 첫 구현은 파일럿 전체 분산을 사용해 분산비가 12로 과대했다(세그먼트 이중 계산). 세그먼트 내 추정으로 수정한 뒤 6.6이 되었다.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5.2 Retail II 재보정 (실제 분산/평균 2.54, 영 0.73)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300"/>
        <w:gridCol w:w="1200"/>
        <w:gridCol w:w="1500"/>
        <w:gridCol w:w="1226"/>
      </w:tblGrid>
      <w:tr>
        <w:trPr>
          <w:tblHeader/>
        </w:trPr>
        <w:tc>
          <w:tcPr>
            <w:tcW w:type="dxa" w:w="2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분산/평균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 비율</w:t>
            </w:r>
          </w:p>
        </w:tc>
        <w:tc>
          <w:tcPr>
            <w:tcW w:type="dxa" w:w="1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JS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포아송 기각률</w:t>
            </w:r>
          </w:p>
        </w:tc>
        <w:tc>
          <w:tcPr>
            <w:tcW w:type="dxa" w:w="1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IRR 비</w:t>
            </w:r>
          </w:p>
        </w:tc>
      </w:tr>
      <w:tr>
        <w:tc>
          <w:tcPr>
            <w:tcW w:type="dxa" w:w="2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 직접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0.84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0.59</w:t>
            </w:r>
          </w:p>
        </w:tc>
        <w:tc>
          <w:tcPr>
            <w:tcW w:type="dxa" w:w="1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0.18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1.43</w:t>
            </w:r>
          </w:p>
        </w:tc>
      </w:tr>
      <w:tr>
        <w:tc>
          <w:tcPr>
            <w:tcW w:type="dxa" w:w="2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 일별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1.38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0.63</w:t>
            </w:r>
          </w:p>
        </w:tc>
        <w:tc>
          <w:tcPr>
            <w:tcW w:type="dxa" w:w="1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1.12</w:t>
            </w:r>
          </w:p>
        </w:tc>
      </w:tr>
      <w:tr>
        <w:tc>
          <w:tcPr>
            <w:tcW w:type="dxa" w:w="2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 서술→표집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1.53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0.64</w:t>
            </w:r>
          </w:p>
        </w:tc>
        <w:tc>
          <w:tcPr>
            <w:tcW w:type="dxa" w:w="1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0.09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1.12</w:t>
            </w:r>
          </w:p>
        </w:tc>
      </w:tr>
      <w:tr>
        <w:tc>
          <w:tcPr>
            <w:tcW w:type="dxa" w:w="2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 하이브리드</w:t>
            </w:r>
          </w:p>
        </w:tc>
        <w:tc>
          <w:tcPr>
            <w:tcW w:type="dxa" w:w="1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2.84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0.71</w:t>
            </w:r>
          </w:p>
        </w:tc>
        <w:tc>
          <w:tcPr>
            <w:tcW w:type="dxa" w:w="1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0.04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1.13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평균이 낮은 현실적 설정에서 A는 응답을 0/1/2로 반올림해 과소분산이 되고, 포아송조차 기각하지 못하며 프로모션 효과를 크게 과대추정한다(IRR 비 1.43). 이 결과가 H5의 근거이며 실제 LLM에서 확인이 필요하다.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fig_irr_sensitivity_retail2.png" descr="그림 2. LLM의 프로모션 반응 과장 정도에 따른 IRR 추정 편향 (Retail II 설정)" title="그림 2. LLM의 프로모션 반응 과장 정도에 따른 IRR 추정 편향 (Retail II 설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그림 2. LLM의 프로모션 반응 과장 정도에 따른 IRR 추정 편향 (Retail II 설정)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한계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두 데이터 모두 프로모션 처치 변수가 없어 RQ4는 실제 데이터로 검증할 수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Retail II는 도매 고객이 섞여 있고, CDNOW(1997~98년)는 사전학습 누수 가능성이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코호트 정의와 구간 선택에 따라 값이 달라질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선행연구 요약은 검색 결과 기준이며 인용 전 원문 확인이 필요하다.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7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2주</w:t>
            </w:r>
          </w:p>
        </w:tc>
        <w:tc>
          <w:tcPr>
            <w:tcW w:type="dxa" w:w="7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문헌 정리, 데이터 선정, 프롬프트 설계</w:t>
            </w:r>
          </w:p>
        </w:tc>
      </w:tr>
      <w:tr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3주</w:t>
            </w:r>
          </w:p>
        </w:tc>
        <w:tc>
          <w:tcPr>
            <w:tcW w:type="dxa" w:w="7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파일럿(조건 A~D, 1,000명), 지표 검증</w:t>
            </w:r>
          </w:p>
        </w:tc>
      </w:tr>
      <w:tr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4주</w:t>
            </w:r>
          </w:p>
        </w:tc>
        <w:tc>
          <w:tcPr>
            <w:tcW w:type="dxa" w:w="7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본 실험과 분석</w:t>
            </w:r>
          </w:p>
        </w:tc>
      </w:tr>
      <w:tr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3주</w:t>
            </w:r>
          </w:p>
        </w:tc>
        <w:tc>
          <w:tcPr>
            <w:tcW w:type="dxa" w:w="7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처치 효과(RQ4)와 논문 작성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참고문헌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Horton (2023). Large Language Models as Simulated Economic Agents. arXiv:2301.07543.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Brand, Israeli, Ngwe. Can LLMs Capture Human Preferences? arXiv:2305.02531.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LLM-Based Multi-Agent System for Simulating and Analyzing Marketing and Consumer Behavior. arXiv:2510.18155.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Random Silicon Sampling. arXiv:2402.18144.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Distribution-First Population Simulation (프리프린트). alphaxiv.org/abs/2607.18310.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Instruction-Tuned Language Models Cannot Sample from Distributions They Can Describe (프리프린트). arXiv:2607.25292.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When Can You Trust Your Synthetic Users? (프리프린트). arXiv:2609.13148.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Fader &amp; Hardie (2001). Forecasting Repeat Sales at CDNOW. Interfaces 31(3), S94–S107.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t xml:space="preserve"/>
    </w: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826a860145f9be8b097d2c8a13db12ca926ea00.png"/><Relationship Id="rId9" Type="http://schemas.openxmlformats.org/officeDocument/2006/relationships/image" Target="media/136cf4f8a4398d22556fbfa84b1bf4631298d2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2026-10-16T12:47:24.769Z</dcterms:created>
  <dcterms:modified xsi:type="dcterms:W3CDTF">2026-10-16T12:47:24.774Z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