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[Date]</w:t>
      </w:r>
    </w:p>
    <w:p>
      <w:pPr>
        <w:pStyle w:val="BodyText"/>
      </w:pPr>
      <w:r>
        <w:t xml:space="preserve">Dear Editor-in-Chief and Senior Editor,</w:t>
      </w:r>
    </w:p>
    <w:p>
      <w:pPr>
        <w:pStyle w:val="BodyText"/>
      </w:pPr>
      <w:r>
        <w:t xml:space="preserve">We submit the manuscript</w:t>
      </w:r>
      <w:r>
        <w:t xml:space="preserve"> </w:t>
      </w:r>
      <w:r>
        <w:t xml:space="preserve">“</w:t>
      </w:r>
      <w:r>
        <w:t xml:space="preserve">How Much Screening Is Enough? An Economic Analysis of Cheap Statistical Screens, LLM Judges, and Strategic Evasion in Detecting Machine-Written Scholarly Text</w:t>
      </w:r>
      <w:r>
        <w:t xml:space="preserve">”</w:t>
      </w:r>
      <w:r>
        <w:t xml:space="preserve"> </w:t>
      </w:r>
      <w:r>
        <w:t xml:space="preserve">for consideration as a research article in</w:t>
      </w:r>
      <w:r>
        <w:t xml:space="preserve"> </w:t>
      </w:r>
      <w:r>
        <w:rPr>
          <w:iCs/>
          <w:i/>
        </w:rPr>
        <w:t xml:space="preserve">Information Systems Research</w:t>
      </w:r>
      <w:r>
        <w:t xml:space="preserve">.</w:t>
      </w:r>
    </w:p>
    <w:p>
      <w:pPr>
        <w:pStyle w:val="BodyText"/>
      </w:pPr>
      <w:r>
        <w:t xml:space="preserve">The manuscript is original, has not been published, and is not under review elsewhere. It has been prepared for double-blind review: the author’s name and affiliation appear only on a separate title page, and the manuscript contains no identifying information. The empirical data come from public sources (the open-access subset of PubMed Central and arXiv) and from text generated by commercial and open-weight language models. The analysis code, prompts, and generated papers will be made available in a public repository upon acceptance. [The author declares no conflicts of interest. Confirm before submission.]</w:t>
      </w:r>
    </w:p>
    <w:p>
      <w:pPr>
        <w:pStyle w:val="BodyText"/>
      </w:pPr>
      <w:r>
        <w:t xml:space="preserve">A contribution statement follows in Part C. Please let us know if any further information is needed.</w:t>
      </w:r>
    </w:p>
    <w:p>
      <w:pPr>
        <w:pStyle w:val="BodyText"/>
      </w:pPr>
      <w:r>
        <w:t xml:space="preserve">Sincerely,</w:t>
      </w:r>
    </w:p>
    <w:p>
      <w:pPr>
        <w:pStyle w:val="BodyText"/>
      </w:pPr>
      <w:r>
        <w:t xml:space="preserve">Ook Lee</w:t>
      </w:r>
      <w:r>
        <w:t xml:space="preserve"> </w:t>
      </w:r>
      <w:r>
        <w:t xml:space="preserve">Department of Information System, Hanyang University, Seoul, Korea</w:t>
      </w:r>
      <w:r>
        <w:t xml:space="preserve"> </w:t>
      </w:r>
      <w:r>
        <w:t xml:space="preserve">ooklee@hanyang.ac.kr</w:t>
      </w:r>
    </w:p>
    <w:p>
      <w:pPr>
        <w:pStyle w:val="BodyText"/>
      </w:pPr>
      <w:r>
        <w:rPr>
          <w:bCs/>
          <w:b/>
        </w:rPr>
        <w:t xml:space="preserve">Statement of Contribution</w:t>
      </w:r>
    </w:p>
    <w:p>
      <w:pPr>
        <w:pStyle w:val="BodyText"/>
      </w:pPr>
      <w:r>
        <w:rPr>
          <w:bCs/>
          <w:b/>
        </w:rPr>
        <w:t xml:space="preserve">Phenomenon and problem.</w:t>
      </w:r>
      <w:r>
        <w:t xml:space="preserve"> </w:t>
      </w:r>
      <w:r>
        <w:t xml:space="preserve">Large language models have made fluent scholarly prose cheap, so publishers and research-integrity offices must decide how much to spend on screening submissions for machine authorship. Research on detection reports accuracy for one generator at a time and leaves out the quantities that decide whether a screen is worth deploying: the base rate of machine-written submissions, the cost of false alarms and misses, and the response of authors who learn how they are screened.</w:t>
      </w:r>
    </w:p>
    <w:p>
      <w:pPr>
        <w:pStyle w:val="BodyText"/>
      </w:pPr>
      <w:r>
        <w:rPr>
          <w:bCs/>
          <w:b/>
        </w:rPr>
        <w:t xml:space="preserve">Contribution to theory.</w:t>
      </w:r>
      <w:r>
        <w:t xml:space="preserve"> </w:t>
      </w:r>
      <w:r>
        <w:t xml:space="preserve">We recast detection as an economic screening problem in the tradition of signaling and screening under asymmetric information (Akerlof 1970; Spence 1973). We derive a closed-form rule for when a costly second-stage judge should be called (Proposition 1), comparative statics showing that the cost-minimizing screening depth rises with the base rate (Proposition 2), and a precision result showing that a free screen’s main value is to raise the base rate the judge sees (Proposition 4). A strategic extension, in which authors choose how hard to evade, yields a detectability paradox: a screen that is very effective against non-adaptive authors can detect less in equilibrium than a weaker one (Propositions 5 to 7).</w:t>
      </w:r>
    </w:p>
    <w:p>
      <w:pPr>
        <w:pStyle w:val="BodyText"/>
      </w:pPr>
      <w:r>
        <w:rPr>
          <w:bCs/>
          <w:b/>
        </w:rPr>
        <w:t xml:space="preserve">Contribution to evidence.</w:t>
      </w:r>
      <w:r>
        <w:t xml:space="preserve"> </w:t>
      </w:r>
      <w:r>
        <w:t xml:space="preserve">We calibrate the model with 474 human-written papers, papers from three generators, two LLM judges, and three adversarial attacks. Human text departs systematically from the Poisson benchmark; the accuracy of a count-based screen does not transfer across generators; a strong judge almost entirely misses one generator; a cascade keeps most of the judge’s detection at a fraction of its cost but inherits the screen’s fragility; and an edit informed by the screen’s features cuts its detection from 53% to 8% without fooling the judge. We also propose a scale-dependent clustering model of event counts and test it on a generator that played no part in its development.</w:t>
      </w:r>
    </w:p>
    <w:p>
      <w:pPr>
        <w:pStyle w:val="BodyText"/>
      </w:pPr>
      <w:r>
        <w:rPr>
          <w:bCs/>
          <w:b/>
        </w:rPr>
        <w:t xml:space="preserve">Contribution to practice.</w:t>
      </w:r>
      <w:r>
        <w:t xml:space="preserve"> </w:t>
      </w:r>
      <w:r>
        <w:t xml:space="preserve">Organizations should evaluate screens by their equilibrium performance against adapting authors and not by headline accuracy, favor features that are costly to manipulate, and budget for recalibration. The model gives an operating rule that needs only three inputs the organization can estimate: the base rate, the cost of investigating a flag, and the loss from a miss.</w:t>
      </w:r>
    </w:p>
    <w:p>
      <w:pPr>
        <w:pStyle w:val="BodyText"/>
      </w:pPr>
      <w:r>
        <w:rPr>
          <w:bCs/>
          <w:b/>
        </w:rPr>
        <w:t xml:space="preserve">Fit with the journal.</w:t>
      </w:r>
      <w:r>
        <w:t xml:space="preserve"> </w:t>
      </w:r>
      <w:r>
        <w:t xml:space="preserve">The paper addresses information quality and the governance of AI-generated content, and it builds and evaluates a screening artifact on an economic theory of screening, with an analytical model and calibrated empirical evidence.</w:t>
      </w:r>
    </w:p>
    <w:p>
      <w:pPr>
        <w:pStyle w:val="BodyText"/>
      </w:pPr>
      <w:r>
        <w:rPr>
          <w:bCs/>
          <w:b/>
        </w:rPr>
        <w:t xml:space="preserve">Limitations we state openly.</w:t>
      </w:r>
      <w:r>
        <w:t xml:space="preserve"> </w:t>
      </w:r>
      <w:r>
        <w:t xml:space="preserve">The evidence is of pilot scale: three generators, one genre, and two judges. The cost parameters in the calibration are illustrative and not measured. We did not test the effect of explainable evidence on human reviewers.</w:t>
      </w:r>
    </w:p>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0" w:before="18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after="0" w:line="48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0" w:before="36" w:line="48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i w:val="0"/>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eastAsia="Times New Roman" w:cs="Times New Roman"/>
      <w:i w:val="0"/>
      <w:color w:val="000000"/>
      <w:sz w:val="19"/>
    </w:rPr>
  </w:style>
  <w:style w:customStyle="1" w:styleId="TableCaption" w:type="paragraph">
    <w:name w:val="Table Caption"/>
    <w:basedOn w:val="Caption"/>
    <w:pPr>
      <w:keepNext/>
    </w:pPr>
    <w:rPr>
      <w:rFonts w:ascii="Times New Roman" w:hAnsi="Times New Roman" w:eastAsia="Times New Roman" w:cs="Times New Roman"/>
      <w:i w:val="0"/>
      <w:color w:val="000000"/>
      <w:sz w:val="19"/>
    </w:rPr>
  </w:style>
  <w:style w:customStyle="1" w:styleId="ImageCaption" w:type="paragraph">
    <w:name w:val="Image Caption"/>
    <w:basedOn w:val="Caption"/>
    <w:rPr>
      <w:rFonts w:ascii="Times New Roman" w:hAnsi="Times New Roman" w:eastAsia="Times New Roman" w:cs="Times New Roman"/>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2026-10-08T07:55:04Z</dcterms:created>
  <dcterms:modified xsi:type="dcterms:W3CDTF">2026-10-08T07:55:04Z</dcterms:modified>
</cp:coreProperties>
</file>

<file path=docProps/custom.xml><?xml version="1.0" encoding="utf-8"?>
<Properties xmlns="http://schemas.openxmlformats.org/officeDocument/2006/custom-properties" xmlns:vt="http://schemas.openxmlformats.org/officeDocument/2006/docPropsVTypes"/>
</file>