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Within</w:t>
      </w:r>
      <w:r>
        <w:t xml:space="preserve"> </w:t>
      </w:r>
      <w:r>
        <w:t xml:space="preserve">one</w:t>
      </w:r>
      <w:r>
        <w:t xml:space="preserve"> </w:t>
      </w:r>
      <w:r>
        <w:t xml:space="preserve">model</w:t>
      </w:r>
      <w:r>
        <w:t xml:space="preserve"> </w:t>
      </w:r>
      <w:r>
        <w:t xml:space="preserve">family,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55</w:t>
      </w:r>
      <w:r>
        <w:t xml:space="preserve"> </w:t>
      </w:r>
      <w:r>
        <w:t xml:space="preserve">percent</w:t>
      </w:r>
      <w:r>
        <w:t xml:space="preserve"> </w:t>
      </w:r>
      <w:r>
        <w:t xml:space="preserve">after</w:t>
      </w:r>
      <w:r>
        <w:t xml:space="preserve"> </w:t>
      </w:r>
      <w:r>
        <w:t xml:space="preserve">a</w:t>
      </w:r>
      <w:r>
        <w:t xml:space="preserve"> </w:t>
      </w:r>
      <w:r>
        <w:t xml:space="preserve">larger</w:t>
      </w:r>
      <w:r>
        <w:t xml:space="preserve"> </w:t>
      </w:r>
      <w:r>
        <w:t xml:space="preserve">one,</w:t>
      </w:r>
      <w:r>
        <w:t xml:space="preserve"> </w:t>
      </w:r>
      <w:r>
        <w:t xml:space="preserve">and</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(two</w:t>
      </w:r>
      <w:r>
        <w:t xml:space="preserve"> </w:t>
      </w:r>
      <w:r>
        <w:t xml:space="preserve">seeds);</w:t>
      </w:r>
      <w:r>
        <w:t xml:space="preserve"> </w:t>
      </w:r>
      <w:r>
        <w:t xml:space="preserve">after</w:t>
      </w:r>
      <w:r>
        <w:t xml:space="preserve"> </w:t>
      </w:r>
      <w:r>
        <w:t xml:space="preserve">instruction</w:t>
      </w:r>
      <w:r>
        <w:t xml:space="preserve"> </w:t>
      </w:r>
      <w:r>
        <w:t xml:space="preserve">tuning</w:t>
      </w:r>
      <w:r>
        <w:t xml:space="preserve"> </w:t>
      </w:r>
      <w:r>
        <w:t xml:space="preserve">it</w:t>
      </w:r>
      <w:r>
        <w:t xml:space="preserve"> </w:t>
      </w:r>
      <w:r>
        <w:t xml:space="preserve">restores</w:t>
      </w:r>
      <w:r>
        <w:t xml:space="preserve"> </w:t>
      </w:r>
      <w:r>
        <w:t xml:space="preserve">71</w:t>
      </w:r>
      <w:r>
        <w:t xml:space="preserve"> </w:t>
      </w:r>
      <w:r>
        <w:t xml:space="preserve">percent.</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improves</w:t>
      </w:r>
      <w:r>
        <w:t xml:space="preserve"> </w:t>
      </w:r>
      <w:r>
        <w:t xml:space="preserve">on</w:t>
      </w:r>
      <w:r>
        <w:t xml:space="preserve"> </w:t>
      </w:r>
      <w:r>
        <w:t xml:space="preserve">copying</w:t>
      </w:r>
      <w:r>
        <w:t xml:space="preserve"> </w:t>
      </w:r>
      <w:r>
        <w:t xml:space="preserve">by</w:t>
      </w:r>
      <w:r>
        <w:t xml:space="preserve"> </w:t>
      </w:r>
      <w:r>
        <w:t xml:space="preserve">an</w:t>
      </w:r>
      <w:r>
        <w:t xml:space="preserve"> </w:t>
      </w:r>
      <w:r>
        <w:t xml:space="preserve">amount</w:t>
      </w:r>
      <w:r>
        <w:t xml:space="preserve"> </w:t>
      </w:r>
      <w:r>
        <w:t xml:space="preserve">that</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After</w:t>
      </w:r>
      <w:r>
        <w:t xml:space="preserve"> </w:t>
      </w:r>
      <w:r>
        <w:t xml:space="preserve">the</w:t>
      </w:r>
      <w:r>
        <w:t xml:space="preserve"> </w:t>
      </w:r>
      <w:r>
        <w:t xml:space="preserve">largest</w:t>
      </w:r>
      <w:r>
        <w:t xml:space="preserve"> </w:t>
      </w:r>
      <w:r>
        <w:t xml:space="preserve">upgrade</w:t>
      </w:r>
      <w:r>
        <w:t xml:space="preserve"> </w:t>
      </w:r>
      <w:r>
        <w:t xml:space="preserve">it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The</w:t>
      </w:r>
      <w:r>
        <w:t xml:space="preserve"> </w:t>
      </w:r>
      <w:r>
        <w:t xml:space="preserve">pattern</w:t>
      </w:r>
      <w:r>
        <w:t xml:space="preserve"> </w:t>
      </w:r>
      <w:r>
        <w:t xml:space="preserve">repeats</w:t>
      </w:r>
      <w:r>
        <w:t xml:space="preserve"> </w:t>
      </w:r>
      <w:r>
        <w:t xml:space="preserve">at</w:t>
      </w:r>
      <w:r>
        <w:t xml:space="preserve"> </w:t>
      </w:r>
      <w:r>
        <w:t xml:space="preserve">70</w:t>
      </w:r>
      <w:r>
        <w:t xml:space="preserve"> </w:t>
      </w:r>
      <w:r>
        <w:t xml:space="preserve">and</w:t>
      </w:r>
      <w:r>
        <w:t xml:space="preserve"> </w:t>
      </w:r>
      <w:r>
        <w:t xml:space="preserve">410</w:t>
      </w:r>
      <w:r>
        <w:t xml:space="preserve"> </w:t>
      </w:r>
      <w:r>
        <w:t xml:space="preserve">million</w:t>
      </w:r>
      <w:r>
        <w:t xml:space="preserve"> </w:t>
      </w:r>
      <w:r>
        <w:t xml:space="preserve">parameters,</w:t>
      </w:r>
      <w:r>
        <w:t xml:space="preserve"> </w:t>
      </w:r>
      <w:r>
        <w:t xml:space="preserve">but</w:t>
      </w:r>
      <w:r>
        <w:t xml:space="preserve"> </w:t>
      </w:r>
      <w:r>
        <w:t xml:space="preserve">ACT’s</w:t>
      </w:r>
      <w:r>
        <w:t xml:space="preserve"> </w:t>
      </w:r>
      <w:r>
        <w:t xml:space="preserve">compute</w:t>
      </w:r>
      <w:r>
        <w:t xml:space="preserve"> </w:t>
      </w:r>
      <w:r>
        <w:t xml:space="preserve">time</w:t>
      </w:r>
      <w:r>
        <w:t xml:space="preserve"> </w:t>
      </w:r>
      <w:r>
        <w:t xml:space="preserve">relative</w:t>
      </w:r>
      <w:r>
        <w:t xml:space="preserve"> </w:t>
      </w:r>
      <w:r>
        <w:t xml:space="preserve">to</w:t>
      </w:r>
      <w:r>
        <w:t xml:space="preserve"> </w:t>
      </w:r>
      <w:r>
        <w:t xml:space="preserve">retraining</w:t>
      </w:r>
      <w:r>
        <w:t xml:space="preserve"> </w:t>
      </w:r>
      <w:r>
        <w:t xml:space="preserve">rises</w:t>
      </w:r>
      <w:r>
        <w:t xml:space="preserve"> </w:t>
      </w:r>
      <w:r>
        <w:t xml:space="preserve">from</w:t>
      </w:r>
      <w:r>
        <w:t xml:space="preserve"> </w:t>
      </w:r>
      <w:r>
        <w:t xml:space="preserve">0.14</w:t>
      </w:r>
      <w:r>
        <w:t xml:space="preserve"> </w:t>
      </w:r>
      <w:r>
        <w:t xml:space="preserve">to</w:t>
      </w:r>
      <w:r>
        <w:t xml:space="preserve"> </w:t>
      </w:r>
      <w:r>
        <w:t xml:space="preserve">0.70</w:t>
      </w:r>
      <w:r>
        <w:t xml:space="preserve"> </w:t>
      </w:r>
      <w:r>
        <w:t xml:space="preserve">in</w:t>
      </w:r>
      <w:r>
        <w:t xml:space="preserve"> </w:t>
      </w:r>
      <w:r>
        <w:t xml:space="preserve">our</w:t>
      </w:r>
      <w:r>
        <w:t xml:space="preserve"> </w:t>
      </w:r>
      <w:r>
        <w:t xml:space="preserve">implementation,</w:t>
      </w:r>
      <w:r>
        <w:t xml:space="preserve"> </w:t>
      </w:r>
      <w:r>
        <w:t xml:space="preserve">so</w:t>
      </w:r>
      <w:r>
        <w:t xml:space="preserve"> </w:t>
      </w:r>
      <w:r>
        <w:t xml:space="preserve">at</w:t>
      </w:r>
      <w:r>
        <w:t xml:space="preserve"> </w:t>
      </w:r>
      <w:r>
        <w:t xml:space="preserve">410</w:t>
      </w:r>
      <w:r>
        <w:t xml:space="preserve"> </w:t>
      </w:r>
      <w:r>
        <w:t xml:space="preserve">million</w:t>
      </w:r>
      <w:r>
        <w:t xml:space="preserve"> </w:t>
      </w:r>
      <w:r>
        <w:t xml:space="preserve">it</w:t>
      </w:r>
      <w:r>
        <w:t xml:space="preserve"> </w:t>
      </w:r>
      <w:r>
        <w:t xml:space="preserve">no</w:t>
      </w:r>
      <w:r>
        <w:t xml:space="preserve"> </w:t>
      </w:r>
      <w:r>
        <w:t xml:space="preserve">longer</w:t>
      </w:r>
      <w:r>
        <w:t xml:space="preserve"> </w:t>
      </w:r>
      <w:r>
        <w:t xml:space="preserve">pays.</w:t>
      </w:r>
      <w:r>
        <w:t xml:space="preserve"> </w:t>
      </w:r>
      <w:r>
        <w:t xml:space="preserve">After</w:t>
      </w:r>
      <w:r>
        <w:t xml:space="preserve"> </w:t>
      </w:r>
      <w:r>
        <w:t xml:space="preserve">smaller</w:t>
      </w:r>
      <w:r>
        <w:t xml:space="preserve"> </w:t>
      </w:r>
      <w:r>
        <w:t xml:space="preserve">upgrades</w:t>
      </w:r>
      <w:r>
        <w:t xml:space="preserve"> </w:t>
      </w:r>
      <w:r>
        <w:t xml:space="preserve">its</w:t>
      </w:r>
      <w:r>
        <w:t xml:space="preserve"> </w:t>
      </w:r>
      <w:r>
        <w:t xml:space="preserve">gain</w:t>
      </w:r>
      <w:r>
        <w:t xml:space="preserve"> </w:t>
      </w:r>
      <w:r>
        <w:t xml:space="preserve">does</w:t>
      </w:r>
      <w:r>
        <w:t xml:space="preserve"> </w:t>
      </w:r>
      <w:r>
        <w:t xml:space="preserve">not</w:t>
      </w:r>
      <w:r>
        <w:t xml:space="preserve"> </w:t>
      </w:r>
      <w:r>
        <w:t xml:space="preserve">cover</w:t>
      </w:r>
      <w:r>
        <w:t xml:space="preserve"> </w:t>
      </w:r>
      <w:r>
        <w:t xml:space="preserve">its</w:t>
      </w:r>
      <w:r>
        <w:t xml:space="preserve"> </w:t>
      </w:r>
      <w:r>
        <w:t xml:space="preserve">cost,</w:t>
      </w:r>
      <w:r>
        <w:t xml:space="preserve"> </w:t>
      </w:r>
      <w:r>
        <w:t xml:space="preserve">and</w:t>
      </w:r>
      <w:r>
        <w:t xml:space="preserve"> </w:t>
      </w:r>
      <w:r>
        <w:t xml:space="preserve">on</w:t>
      </w:r>
      <w:r>
        <w:t xml:space="preserve"> </w:t>
      </w:r>
      <w:r>
        <w:t xml:space="preserve">an</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at</w:t>
      </w:r>
      <w:r>
        <w:t xml:space="preserve"> </w:t>
      </w:r>
      <w:r>
        <w:t xml:space="preserve">all,</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CCS Concepts:</w:t>
      </w:r>
      <w:r>
        <w:t xml:space="preserve"> </w:t>
      </w:r>
      <w:r>
        <w:t xml:space="preserve">Information systems → Decision support systems; Computing methodologies → Natural language processing; Applied computing → Operations research.</w:t>
      </w:r>
    </w:p>
    <w:p>
      <w:pPr>
        <w:pStyle w:val="BodyText"/>
      </w:pPr>
      <w:r>
        <w:rPr>
          <w:bCs/>
          <w:b/>
        </w:rPr>
        <w:t xml:space="preserve">Additional Key Words and Phrases:</w:t>
      </w:r>
      <w:r>
        <w:t xml:space="preserve"> </w:t>
      </w:r>
      <w:r>
        <w:t xml:space="preserve">AI asset management, foundation model upgrades, parameter-efficient fine-tuning, maintenance policy, optimal stopping, decision support</w:t>
      </w:r>
    </w:p>
    <w:p>
      <w:pPr>
        <w:pStyle w:val="BodyText"/>
      </w:pPr>
      <w:r>
        <w:rPr>
          <w:bCs/>
          <w:b/>
        </w:rPr>
        <w:t xml:space="preserve">ACM Reference Format:</w:t>
      </w:r>
      <w:r>
        <w:t xml:space="preserve"> </w:t>
      </w:r>
      <w:r>
        <w:t xml:space="preserve">Ook Lee. 2026. When Is Adapter Transfer Worth Its Cost? A Decision Model for Maintaining Fine-Tuned Language-Model Adapters Across Foundation-Model Upgrades.</w:t>
      </w:r>
      <w:r>
        <w:t xml:space="preserve"> </w:t>
      </w:r>
      <w:r>
        <w:rPr>
          <w:iCs/>
          <w:i/>
        </w:rPr>
        <w:t xml:space="preserve">ACM Trans. Manag. Inf. Syst.</w:t>
      </w:r>
      <w:r>
        <w:t xml:space="preserve"> </w:t>
      </w:r>
      <w:r>
        <w:t xml:space="preserve">(2026).</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[8]),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[13],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96% of the retraining</w:t>
      </w:r>
      <w:r>
        <w:t xml:space="preserve"> </w:t>
      </w:r>
      <w:r>
        <w:t xml:space="preserve">benefit after a small upgrade, 55% after a larger one, and only 32% to 36% after the largest; after an instruction-tuning upgrade it recovers 71%.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Its gain over copying rises steadily with the size of the upgrade, reaching 0.33 to 0.40 after the largest at 160 million parameters (two seeds), where it restores 69% to 72% of the retraining benefit at 30% to 36% of the retraining compute time and is the</w:t>
      </w:r>
      <w:r>
        <w:t xml:space="preserve"> </w:t>
      </w:r>
      <w:r>
        <w:t xml:space="preserve">cost-minimizing policy over a bounded range of adapter values. The gain also appears at 70 and 410 million parameters, but ACT’s compute time relative to retraining rises from 0.14 to 0.70 with model size in our implementation, so the same method stops paying at 410 million.</w:t>
      </w:r>
      <w:r>
        <w:t xml:space="preserve"> </w:t>
      </w:r>
      <w:r>
        <w:t xml:space="preserve">After smaller upgrades its gain does not cover its cost, and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[1, 2], building on the economics of irreversible</w:t>
      </w:r>
      <w:r>
        <w:t xml:space="preserve"> </w:t>
      </w:r>
      <w:r>
        <w:t xml:space="preserve">investment [6, 11].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[13]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[8] and adapters [7]</w:t>
      </w:r>
      <w:r>
        <w:t xml:space="preserve"> </w:t>
      </w:r>
      <w:r>
        <w:t xml:space="preserve">make task adaptations small and portable. Work on combining and editing fine-tuned weights</w:t>
      </w:r>
      <w:r>
        <w:t xml:space="preserve"> </w:t>
      </w:r>
      <w:r>
        <w:t xml:space="preserve">[9] shows that weight-space updates can be reused, and Kirkpatrick et al. [10]</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[12], and non-exponential release intervals are handled by simulation,</w:t>
      </w:r>
      <w:r>
        <w:t xml:space="preserve"> </w:t>
      </w:r>
      <w:r>
        <w:t xml:space="preserve">using the continuity correction of Broadie et al. [4]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[5]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984"/>
          </w:tcPr>
          <w:p>
            <w:pPr>
              <w:pStyle w:val="Compact"/>
              <w:spacing w:line="240" w:lineRule="auto"/>
              <w:jc w:val="center"/>
            </w:pPr>
            <w:r>
              <w:rPr>
                <w:rFonts w:ascii="Times New Roman" w:hAnsi="Times New Roman"/>
                <w:sz w:val="20"/>
              </w:rPr>
              <w:t xml:space="preserve">0.956</w:t>
            </w:r>
          </w:p>
        </w:tc>
        <w:tc>
          <w:tcPr>
            <w:tcW w:type="dxa" w:w="984"/>
          </w:tcPr>
          <w:p>
            <w:pPr>
              <w:pStyle w:val="Compact"/>
              <w:spacing w:line="240" w:lineRule="auto"/>
              <w:jc w:val="center"/>
            </w:pPr>
            <w:r>
              <w:rPr>
                <w:rFonts w:ascii="Times New Roman" w:hAnsi="Times New Roman"/>
                <w:sz w:val="20"/>
              </w:rPr>
              <w:t xml:space="preserve">0.952</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55.6</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984"/>
          </w:tcPr>
          <w:p>
            <w:pPr>
              <w:pStyle w:val="Compact"/>
              <w:spacing w:line="240" w:lineRule="auto"/>
              <w:jc w:val="center"/>
            </w:pPr>
            <w:r>
              <w:rPr>
                <w:rFonts w:ascii="Times New Roman" w:hAnsi="Times New Roman"/>
                <w:sz w:val="20"/>
              </w:rPr>
              <w:t xml:space="preserve">0.928</w:t>
            </w:r>
          </w:p>
        </w:tc>
        <w:tc>
          <w:tcPr>
            <w:tcW w:type="dxa" w:w="984"/>
          </w:tcPr>
          <w:p>
            <w:pPr>
              <w:pStyle w:val="Compact"/>
              <w:spacing w:line="240" w:lineRule="auto"/>
              <w:jc w:val="center"/>
            </w:pPr>
            <w:r>
              <w:rPr>
                <w:rFonts w:ascii="Times New Roman" w:hAnsi="Times New Roman"/>
                <w:sz w:val="20"/>
              </w:rPr>
              <w:t xml:space="preserve">0.939</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0.11</w:t>
            </w:r>
          </w:p>
        </w:tc>
        <w:tc>
          <w:tcPr>
            <w:tcW w:type="dxa" w:w="984"/>
          </w:tcPr>
          <w:p>
            <w:pPr>
              <w:pStyle w:val="Compact"/>
              <w:spacing w:line="240" w:lineRule="auto"/>
              <w:jc w:val="center"/>
            </w:pPr>
            <w:r>
              <w:rPr>
                <w:rFonts w:ascii="Times New Roman" w:hAnsi="Times New Roman"/>
                <w:sz w:val="20"/>
              </w:rPr>
              <w:t xml:space="preserve">34.0</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984"/>
          </w:tcPr>
          <w:p>
            <w:pPr>
              <w:pStyle w:val="Compact"/>
              <w:spacing w:line="240" w:lineRule="auto"/>
              <w:jc w:val="center"/>
            </w:pPr>
            <w:r>
              <w:rPr>
                <w:rFonts w:ascii="Times New Roman" w:hAnsi="Times New Roman"/>
                <w:sz w:val="20"/>
              </w:rPr>
              <w:t xml:space="preserve">0.895</w:t>
            </w:r>
          </w:p>
        </w:tc>
        <w:tc>
          <w:tcPr>
            <w:tcW w:type="dxa" w:w="984"/>
          </w:tcPr>
          <w:p>
            <w:pPr>
              <w:pStyle w:val="Compact"/>
              <w:spacing w:line="240" w:lineRule="auto"/>
              <w:jc w:val="center"/>
            </w:pPr>
            <w:r>
              <w:rPr>
                <w:rFonts w:ascii="Times New Roman" w:hAnsi="Times New Roman"/>
                <w:sz w:val="20"/>
              </w:rPr>
              <w:t xml:space="preserve">0.934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0.29</w:t>
            </w:r>
          </w:p>
        </w:tc>
        <w:tc>
          <w:tcPr>
            <w:tcW w:type="dxa" w:w="984"/>
          </w:tcPr>
          <w:p>
            <w:pPr>
              <w:pStyle w:val="Compact"/>
              <w:spacing w:line="240" w:lineRule="auto"/>
              <w:jc w:val="center"/>
            </w:pPr>
            <w:r>
              <w:rPr>
                <w:rFonts w:ascii="Times New Roman" w:hAnsi="Times New Roman"/>
                <w:sz w:val="20"/>
              </w:rPr>
              <w:t xml:space="preserve">23.3</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984"/>
          </w:tcPr>
          <w:p>
            <w:pPr>
              <w:pStyle w:val="Compact"/>
              <w:spacing w:line="240" w:lineRule="auto"/>
              <w:jc w:val="center"/>
            </w:pPr>
            <w:r>
              <w:rPr>
                <w:rFonts w:ascii="Times New Roman" w:hAnsi="Times New Roman"/>
                <w:sz w:val="20"/>
              </w:rPr>
              <w:t xml:space="preserve">0.554</w:t>
            </w:r>
          </w:p>
        </w:tc>
        <w:tc>
          <w:tcPr>
            <w:tcW w:type="dxa" w:w="984"/>
          </w:tcPr>
          <w:p>
            <w:pPr>
              <w:pStyle w:val="Compact"/>
              <w:spacing w:line="240" w:lineRule="auto"/>
              <w:jc w:val="center"/>
            </w:pPr>
            <w:r>
              <w:rPr>
                <w:rFonts w:ascii="Times New Roman" w:hAnsi="Times New Roman"/>
                <w:sz w:val="20"/>
              </w:rPr>
              <w:t xml:space="preserve">0.734</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5.5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3.6</w:t>
            </w:r>
          </w:p>
        </w:tc>
        <w:tc>
          <w:tcPr>
            <w:tcW w:type="dxa" w:w="984"/>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984"/>
          </w:tcPr>
          <w:p>
            <w:pPr>
              <w:pStyle w:val="Compact"/>
              <w:spacing w:line="240" w:lineRule="auto"/>
              <w:jc w:val="center"/>
            </w:pPr>
            <w:r>
              <w:rPr>
                <w:rFonts w:ascii="Times New Roman" w:hAnsi="Times New Roman"/>
                <w:sz w:val="20"/>
              </w:rPr>
              <w:t xml:space="preserve">0.359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0.30</w:t>
            </w:r>
          </w:p>
        </w:tc>
        <w:tc>
          <w:tcPr>
            <w:tcW w:type="dxa" w:w="984"/>
          </w:tcPr>
          <w:p>
            <w:pPr>
              <w:pStyle w:val="Compact"/>
              <w:spacing w:line="240" w:lineRule="auto"/>
              <w:jc w:val="center"/>
            </w:pPr>
            <w:r>
              <w:rPr>
                <w:rFonts w:ascii="Times New Roman" w:hAnsi="Times New Roman"/>
                <w:sz w:val="20"/>
              </w:rPr>
              <w:t xml:space="preserve">0.43</w:t>
            </w:r>
          </w:p>
        </w:tc>
        <w:tc>
          <w:tcPr>
            <w:tcW w:type="dxa" w:w="984"/>
          </w:tcPr>
          <w:p>
            <w:pPr>
              <w:pStyle w:val="Compact"/>
              <w:spacing w:line="240" w:lineRule="auto"/>
              <w:jc w:val="center"/>
            </w:pPr>
            <w:r>
              <w:rPr>
                <w:rFonts w:ascii="Times New Roman" w:hAnsi="Times New Roman"/>
                <w:sz w:val="20"/>
              </w:rPr>
              <w:t xml:space="preserve">3.8</w:t>
            </w:r>
          </w:p>
        </w:tc>
        <w:tc>
          <w:tcPr>
            <w:tcW w:type="dxa" w:w="984"/>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984"/>
          </w:tcPr>
          <w:p>
            <w:pPr>
              <w:pStyle w:val="Compact"/>
              <w:spacing w:line="240" w:lineRule="auto"/>
              <w:jc w:val="center"/>
            </w:pPr>
            <w:r>
              <w:rPr>
                <w:rFonts w:ascii="Times New Roman" w:hAnsi="Times New Roman"/>
                <w:sz w:val="20"/>
              </w:rPr>
              <w:t xml:space="preserve">0.706</w:t>
            </w:r>
          </w:p>
        </w:tc>
        <w:tc>
          <w:tcPr>
            <w:tcW w:type="dxa" w:w="984"/>
          </w:tcPr>
          <w:p>
            <w:pPr>
              <w:pStyle w:val="Compact"/>
              <w:spacing w:line="240" w:lineRule="auto"/>
              <w:jc w:val="center"/>
            </w:pPr>
            <w:r>
              <w:rPr>
                <w:rFonts w:ascii="Times New Roman" w:hAnsi="Times New Roman"/>
                <w:sz w:val="20"/>
              </w:rPr>
              <w:t xml:space="preserve">0.700</w:t>
            </w:r>
          </w:p>
        </w:tc>
        <w:tc>
          <w:tcPr>
            <w:tcW w:type="dxa" w:w="984"/>
          </w:tcPr>
          <w:p>
            <w:pPr>
              <w:pStyle w:val="Compact"/>
              <w:spacing w:line="240" w:lineRule="auto"/>
              <w:jc w:val="center"/>
            </w:pPr>
            <w:r>
              <w:rPr>
                <w:rFonts w:ascii="Times New Roman" w:hAnsi="Times New Roman"/>
                <w:sz w:val="20"/>
              </w:rPr>
              <w:t xml:space="preserve">0.65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8.4</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p>
      <w:pPr>
        <w:pStyle w:val="BodyText"/>
      </w:pPr>
      <w:r>
        <w:rPr>
          <w:bCs/>
          <w:b/>
        </w:rPr>
        <w:t xml:space="preserve">Model size.</w:t>
      </w:r>
      <w:r>
        <w:t xml:space="preserve"> </w:t>
      </w:r>
      <w:r>
        <w:t xml:space="preserve">To check whether the pattern depends on scale, we repeat the smallest, a medium, and the largest upgrade at 70 million parameters, and the largest upgrade at 410 million parameters (Table 6); the 160-million row is repeated for comparison.</w:t>
      </w:r>
      <w:r>
        <w:t xml:space="preserve"> </w:t>
      </w:r>
      <w:r>
        <w:t xml:space="preserve">The shape repeats at 70 million: copy recovery falls from 0.972 to 0.933 to 0.621 as the drift rises from 0.25 to 0.32 to 0.49, and ACT’s gain rises from</w:t>
      </w:r>
      <w:r>
        <w:t xml:space="preserve"> </w:t>
      </w:r>
      <m:oMath>
        <m:r>
          <m:rPr>
            <m:sty m:val="p"/>
          </m:rPr>
          <m:t>+</m:t>
        </m:r>
        <m:r>
          <m:t>0.002</m:t>
        </m:r>
      </m:oMath>
      <w:r>
        <w:t xml:space="preserve"> </w:t>
      </w:r>
      <w:r>
        <w:t xml:space="preserve">to</w:t>
      </w:r>
      <w:r>
        <w:t xml:space="preserve"> </w:t>
      </w:r>
      <m:oMath>
        <m:r>
          <m:rPr>
            <m:sty m:val="p"/>
          </m:rPr>
          <m:t>+</m:t>
        </m:r>
        <m:r>
          <m:t>0.026</m:t>
        </m:r>
      </m:oMath>
      <w:r>
        <w:t xml:space="preserve"> </w:t>
      </w:r>
      <w:r>
        <w:t xml:space="preserve">to</w:t>
      </w:r>
      <w:r>
        <w:t xml:space="preserve"> </w:t>
      </w:r>
      <m:oMath>
        <m:r>
          <m:rPr>
            <m:sty m:val="p"/>
          </m:rPr>
          <m:t>+</m:t>
        </m:r>
        <m:r>
          <m:t>0.171</m:t>
        </m:r>
      </m:oMath>
      <w:r>
        <w:t xml:space="preserve">. ACT is cheaper relative to retraining at this size (0.14 to 0.16), so it already pays after the medium upgrade, for adapter values between about 12 and 42 times</w:t>
      </w:r>
      <w:r>
        <w:t xml:space="preserve"> </w:t>
      </w:r>
      <m:oMath>
        <m:sSub>
          <m:e>
            <m:r>
              <m:t>C</m:t>
            </m:r>
          </m:e>
          <m:sub>
            <m:r>
              <m:t>N</m:t>
            </m:r>
          </m:sub>
        </m:sSub>
      </m:oMath>
      <w:r>
        <w:t xml:space="preserve">, and over a range of 1.6 to 8.4 after the largest.</w:t>
      </w:r>
      <w:r>
        <w:t xml:space="preserve"> </w:t>
      </w:r>
      <w:r>
        <w:t xml:space="preserve">At 410 million parameters ACT again improves on copying after the largest upgrade (recovery 0.63 against 0.47, a gain of 0.16), but its compute time relative to retraining has risen to 0.70, so the gain is smaller than the break-even (</w:t>
      </w:r>
      <m:oMath>
        <m:r>
          <m:t>Γ</m:t>
        </m:r>
        <m:r>
          <m:rPr>
            <m:sty m:val="p"/>
          </m:rPr>
          <m:t>=</m:t>
        </m:r>
        <m:r>
          <m:t>0.23</m:t>
        </m:r>
      </m:oMath>
      <w:r>
        <w:t xml:space="preserve"> </w:t>
      </w:r>
      <w:r>
        <w:t xml:space="preserve">against</w:t>
      </w:r>
      <w:r>
        <w:t xml:space="preserve"> </w:t>
      </w:r>
      <m:oMath>
        <m:sSub>
          <m:e>
            <m:r>
              <m:t>C</m:t>
            </m:r>
          </m:e>
          <m:sub>
            <m:r>
              <m:t>A</m:t>
            </m:r>
          </m:sub>
        </m:sSub>
        <m:r>
          <m:rPr>
            <m:sty m:val="p"/>
          </m:rPr>
          <m:t>=</m:t>
        </m:r>
        <m:r>
          <m:t>0.70</m:t>
        </m:r>
      </m:oMath>
      <w:r>
        <w:t xml:space="preserve">) and ACT is never the cost-minimizing policy.</w:t>
      </w:r>
    </w:p>
    <w:p>
      <w:pPr>
        <w:pStyle w:val="TableCaption"/>
      </w:pPr>
      <w:r>
        <w:t xml:space="preserve">The same pattern at three model sizes (Pythia; step 73k to 143k unless noted). Cost ratio is compute time of ACT over compute time of retraining;</w:t>
      </w:r>
      <w:r>
        <w:t xml:space="preserve"> </w:t>
      </w:r>
      <m:oMath>
        <m:r>
          <m:t>Γ</m:t>
        </m:r>
      </m:oMath>
      <w:r>
        <w:t xml:space="preserve"> </w:t>
      </w:r>
      <w:r>
        <w:t xml:space="preserve">and ACT-optimal range use each run’s own cost ratio.</w:t>
      </w:r>
    </w:p>
    <w:tbl>
      <w:tblPr>
        <w:tblStyle w:val="Table"/>
        <w:tblW w:type="dxa" w:w="9360"/>
        <w:tblLook w:firstRow="1" w:lastRow="0" w:firstColumn="0" w:lastColumn="0" w:noHBand="0" w:noVBand="0" w:val="0020"/>
        <w:jc w:val="start"/>
        <w:tblCaption w:val="The same pattern at three model sizes (Pythia; step 73k to 143k unless noted). Cost ratio is compute time of ACT over compute time of retraining; \Gamma and ACT-optimal range use each run’s own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 and 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 step 133k to 143k</w:t>
            </w:r>
          </w:p>
        </w:tc>
        <w:tc>
          <w:tcPr>
            <w:tcW w:type="dxa" w:w="984"/>
          </w:tcPr>
          <w:p>
            <w:pPr>
              <w:pStyle w:val="Compact"/>
              <w:spacing w:line="240" w:lineRule="auto"/>
              <w:jc w:val="center"/>
            </w:pPr>
            <w:r>
              <w:rPr>
                <w:rFonts w:ascii="Times New Roman" w:hAnsi="Times New Roman"/>
                <w:sz w:val="20"/>
              </w:rPr>
              <w:t xml:space="preserve">0.25</w:t>
            </w:r>
          </w:p>
        </w:tc>
        <w:tc>
          <w:tcPr>
            <w:tcW w:type="dxa" w:w="984"/>
          </w:tcPr>
          <w:p>
            <w:pPr>
              <w:pStyle w:val="Compact"/>
              <w:spacing w:line="240" w:lineRule="auto"/>
              <w:jc w:val="center"/>
            </w:pPr>
            <w:r>
              <w:rPr>
                <w:rFonts w:ascii="Times New Roman" w:hAnsi="Times New Roman"/>
                <w:sz w:val="20"/>
              </w:rPr>
              <w:t xml:space="preserve">0.972</w:t>
            </w:r>
          </w:p>
        </w:tc>
        <w:tc>
          <w:tcPr>
            <w:tcW w:type="dxa" w:w="984"/>
          </w:tcPr>
          <w:p>
            <w:pPr>
              <w:pStyle w:val="Compact"/>
              <w:spacing w:line="240" w:lineRule="auto"/>
              <w:jc w:val="center"/>
            </w:pPr>
            <w:r>
              <w:rPr>
                <w:rFonts w:ascii="Times New Roman" w:hAnsi="Times New Roman"/>
                <w:sz w:val="20"/>
              </w:rPr>
              <w:t xml:space="preserve">0.974</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0.05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70M, step 103k to 143k</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0.933</w:t>
            </w:r>
          </w:p>
        </w:tc>
        <w:tc>
          <w:tcPr>
            <w:tcW w:type="dxa" w:w="984"/>
          </w:tcPr>
          <w:p>
            <w:pPr>
              <w:pStyle w:val="Compact"/>
              <w:spacing w:line="240" w:lineRule="auto"/>
              <w:jc w:val="center"/>
            </w:pPr>
            <w:r>
              <w:rPr>
                <w:rFonts w:ascii="Times New Roman" w:hAnsi="Times New Roman"/>
                <w:sz w:val="20"/>
              </w:rPr>
              <w:t xml:space="preserve">0.959</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0.31</w:t>
            </w:r>
          </w:p>
        </w:tc>
        <w:tc>
          <w:tcPr>
            <w:tcW w:type="dxa" w:w="984"/>
          </w:tcPr>
          <w:p>
            <w:pPr>
              <w:pStyle w:val="Compact"/>
              <w:spacing w:line="240" w:lineRule="auto"/>
              <w:jc w:val="center"/>
            </w:pPr>
            <w:r>
              <w:rPr>
                <w:rFonts w:ascii="Times New Roman" w:hAnsi="Times New Roman"/>
                <w:sz w:val="20"/>
              </w:rPr>
              <w:t xml:space="preserve">[11.7, 42.1)</w:t>
            </w:r>
          </w:p>
        </w:tc>
      </w:tr>
      <w:tr>
        <w:tc>
          <w:tcPr>
            <w:tcW w:type="dxa" w:w="3456"/>
          </w:tcPr>
          <w:p>
            <w:pPr>
              <w:pStyle w:val="Compact"/>
              <w:spacing w:line="240" w:lineRule="auto"/>
              <w:jc w:val="left"/>
            </w:pPr>
            <w:r>
              <w:rPr>
                <w:rFonts w:ascii="Times New Roman" w:hAnsi="Times New Roman"/>
                <w:sz w:val="20"/>
              </w:rPr>
              <w:t xml:space="preserve">70M, step 73k to 143k</w:t>
            </w:r>
          </w:p>
        </w:tc>
        <w:tc>
          <w:tcPr>
            <w:tcW w:type="dxa" w:w="984"/>
          </w:tcPr>
          <w:p>
            <w:pPr>
              <w:pStyle w:val="Compact"/>
              <w:spacing w:line="240" w:lineRule="auto"/>
              <w:jc w:val="center"/>
            </w:pPr>
            <w:r>
              <w:rPr>
                <w:rFonts w:ascii="Times New Roman" w:hAnsi="Times New Roman"/>
                <w:sz w:val="20"/>
              </w:rPr>
              <w:t xml:space="preserve">0.49</w:t>
            </w:r>
          </w:p>
        </w:tc>
        <w:tc>
          <w:tcPr>
            <w:tcW w:type="dxa" w:w="984"/>
          </w:tcPr>
          <w:p>
            <w:pPr>
              <w:pStyle w:val="Compact"/>
              <w:spacing w:line="240" w:lineRule="auto"/>
              <w:jc w:val="center"/>
            </w:pPr>
            <w:r>
              <w:rPr>
                <w:rFonts w:ascii="Times New Roman" w:hAnsi="Times New Roman"/>
                <w:sz w:val="20"/>
              </w:rPr>
              <w:t xml:space="preserve">0.621</w:t>
            </w:r>
          </w:p>
        </w:tc>
        <w:tc>
          <w:tcPr>
            <w:tcW w:type="dxa" w:w="984"/>
          </w:tcPr>
          <w:p>
            <w:pPr>
              <w:pStyle w:val="Compact"/>
              <w:spacing w:line="240" w:lineRule="auto"/>
              <w:jc w:val="center"/>
            </w:pPr>
            <w:r>
              <w:rPr>
                <w:rFonts w:ascii="Times New Roman" w:hAnsi="Times New Roman"/>
                <w:sz w:val="20"/>
              </w:rPr>
              <w:t xml:space="preserve">0.791</w:t>
            </w:r>
          </w:p>
        </w:tc>
        <w:tc>
          <w:tcPr>
            <w:tcW w:type="dxa" w:w="984"/>
          </w:tcPr>
          <w:p>
            <w:pPr>
              <w:pStyle w:val="Compact"/>
              <w:spacing w:line="240" w:lineRule="auto"/>
              <w:jc w:val="center"/>
            </w:pPr>
            <w:r>
              <w:rPr>
                <w:rFonts w:ascii="Times New Roman" w:hAnsi="Times New Roman"/>
                <w:sz w:val="20"/>
              </w:rPr>
              <w:t xml:space="preserve">0.14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[1.6, 8.4)</w:t>
            </w:r>
          </w:p>
        </w:tc>
      </w:tr>
      <w:tr>
        <w:tc>
          <w:tcPr>
            <w:tcW w:type="dxa" w:w="3456"/>
          </w:tcPr>
          <w:p>
            <w:pPr>
              <w:pStyle w:val="Compact"/>
              <w:spacing w:line="240" w:lineRule="auto"/>
              <w:jc w:val="left"/>
            </w:pPr>
            <w:r>
              <w:rPr>
                <w:rFonts w:ascii="Times New Roman" w:hAnsi="Times New Roman"/>
                <w:sz w:val="20"/>
              </w:rPr>
              <w:t xml:space="preserve">160M, step 73k to 143k (seed 0)</w:t>
            </w:r>
          </w:p>
        </w:tc>
        <w:tc>
          <w:tcPr>
            <w:tcW w:type="dxa" w:w="984"/>
          </w:tcPr>
          <w:p>
            <w:pPr>
              <w:pStyle w:val="Compact"/>
              <w:spacing w:line="240" w:lineRule="auto"/>
              <w:jc w:val="center"/>
            </w:pPr>
            <w:r>
              <w:rPr>
                <w:rFonts w:ascii="Times New Roman" w:hAnsi="Times New Roman"/>
                <w:sz w:val="20"/>
              </w:rPr>
              <w:t xml:space="preserve">0.60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[1.8, 4.4)</w:t>
            </w:r>
          </w:p>
        </w:tc>
      </w:tr>
      <w:tr>
        <w:tc>
          <w:tcPr>
            <w:tcW w:type="dxa" w:w="3456"/>
          </w:tcPr>
          <w:p>
            <w:pPr>
              <w:pStyle w:val="Compact"/>
              <w:spacing w:line="240" w:lineRule="auto"/>
              <w:jc w:val="left"/>
            </w:pPr>
            <w:r>
              <w:rPr>
                <w:rFonts w:ascii="Times New Roman" w:hAnsi="Times New Roman"/>
                <w:sz w:val="20"/>
              </w:rPr>
              <w:t xml:space="preserve">410M, step 73k to 143k</w:t>
            </w:r>
          </w:p>
        </w:tc>
        <w:tc>
          <w:tcPr>
            <w:tcW w:type="dxa" w:w="984"/>
          </w:tcPr>
          <w:p>
            <w:pPr>
              <w:pStyle w:val="Compact"/>
              <w:spacing w:line="240" w:lineRule="auto"/>
              <w:jc w:val="center"/>
            </w:pPr>
            <w:r>
              <w:rPr>
                <w:rFonts w:ascii="Times New Roman" w:hAnsi="Times New Roman"/>
                <w:sz w:val="20"/>
              </w:rPr>
              <w:t xml:space="preserve">0.46</w:t>
            </w:r>
          </w:p>
        </w:tc>
        <w:tc>
          <w:tcPr>
            <w:tcW w:type="dxa" w:w="984"/>
          </w:tcPr>
          <w:p>
            <w:pPr>
              <w:pStyle w:val="Compact"/>
              <w:spacing w:line="240" w:lineRule="auto"/>
              <w:jc w:val="center"/>
            </w:pPr>
            <w:r>
              <w:rPr>
                <w:rFonts w:ascii="Times New Roman" w:hAnsi="Times New Roman"/>
                <w:sz w:val="20"/>
              </w:rPr>
              <w:t xml:space="preserve">0.472</w:t>
            </w:r>
          </w:p>
        </w:tc>
        <w:tc>
          <w:tcPr>
            <w:tcW w:type="dxa" w:w="984"/>
          </w:tcPr>
          <w:p>
            <w:pPr>
              <w:pStyle w:val="Compact"/>
              <w:spacing w:line="240" w:lineRule="auto"/>
              <w:jc w:val="center"/>
            </w:pPr>
            <w:r>
              <w:rPr>
                <w:rFonts w:ascii="Times New Roman" w:hAnsi="Times New Roman"/>
                <w:sz w:val="20"/>
              </w:rPr>
              <w:t xml:space="preserve">0.631</w:t>
            </w:r>
          </w:p>
        </w:tc>
        <w:tc>
          <w:tcPr>
            <w:tcW w:type="dxa" w:w="984"/>
          </w:tcPr>
          <w:p>
            <w:pPr>
              <w:pStyle w:val="Compact"/>
              <w:spacing w:line="240" w:lineRule="auto"/>
              <w:jc w:val="center"/>
            </w:pPr>
            <w:r>
              <w:rPr>
                <w:rFonts w:ascii="Times New Roman" w:hAnsi="Times New Roman"/>
                <w:sz w:val="20"/>
              </w:rPr>
              <w:t xml:space="preserve">0.70</w:t>
            </w:r>
          </w:p>
        </w:tc>
        <w:tc>
          <w:tcPr>
            <w:tcW w:type="dxa" w:w="984"/>
          </w:tcPr>
          <w:p>
            <w:pPr>
              <w:pStyle w:val="Compact"/>
              <w:spacing w:line="240" w:lineRule="auto"/>
              <w:jc w:val="center"/>
            </w:pPr>
            <w:r>
              <w:rPr>
                <w:rFonts w:ascii="Times New Roman" w:hAnsi="Times New Roman"/>
                <w:sz w:val="20"/>
              </w:rPr>
              <w:t xml:space="preserve">0.23</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t xml:space="preserve">The cost ratio is the quantity that changes with scale. Retraining time grows roughly in proportion to model size (207, 467, and 1</w:t>
      </w:r>
      <w:r>
        <w:t xml:space="preserve">,</w:t>
      </w:r>
      <w:r>
        <w:t xml:space="preserve">171 seconds at 70, 160, and 410 million parameters), but ACT’s time grows faster (29, 168, and 815 seconds). To see where the time goes, we profiled ACT on untrained adapters, whose cost is the same as that of trained ones (Table 7).</w:t>
      </w:r>
      <w:r>
        <w:t xml:space="preserve"> </w:t>
      </w:r>
      <w:r>
        <w:t xml:space="preserve">Contrary to our first guess, the linear solves are not the main cost: they take 11% to 14% of ACT’s time at every size. The largest component, and the one that grows fastest, is the forward passes that capture module inputs (39%, 51%, and 60% of the time). ACT corrects the layers in order from the input side, and for each layer it runs both models from the input up to that layer, so the number of layer passes grows with the square of the depth. Relative to 70 million parameters, the layer-pass count multiplied by the squared layer width predicts growth of 8.4 and 57 times; the measured forward time grew by 8.4 and 35 times. The prediction matches at 160 million parameters and overshoots at 410 million, perhaps because larger matrix products run more efficiently on the CPU, a point we did not test.</w:t>
      </w:r>
      <w:r>
        <w:t xml:space="preserve"> </w:t>
      </w:r>
      <w:r>
        <w:t xml:space="preserve">Retraining, in contrast, passes through each layer once per step, so its cost grows roughly with depth rather than with its square. Of the 787 seconds added between 70 and 410 million parameters, forward passes account for 61%, Gram-matrix accumulation and other work for 26%, and the solves for 13%.</w:t>
      </w:r>
    </w:p>
    <w:p>
      <w:pPr>
        <w:pStyle w:val="TableCaption"/>
      </w:pPr>
      <w:r>
        <w:t xml:space="preserve">Profile of ACT on untrained adapters (Pythia, CPU, four threads). The totals differ from the ACT times of the full runs by up to 38%.</w:t>
      </w:r>
    </w:p>
    <w:tbl>
      <w:tblPr>
        <w:tblStyle w:val="Table"/>
        <w:tblW w:type="dxa" w:w="9360"/>
        <w:tblLook w:firstRow="1" w:lastRow="0" w:firstColumn="0" w:lastColumn="0" w:noHBand="0" w:noVBand="0" w:val="0020"/>
        <w:jc w:val="start"/>
        <w:tblCaption w:val="Profile of ACT on untrained adapters (Pythia, CPU, four threads). The totals differ from the ACT times of the full runs by up to 38%."/>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Layers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Total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Forward passes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Linear solves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Gram matrices, other</w:t>
            </w:r>
          </w:p>
        </w:tc>
      </w:tr>
      <w:tr>
        <w:tc>
          <w:tcPr>
            <w:tcW w:type="dxa" w:w="3456"/>
          </w:tcPr>
          <w:p>
            <w:pPr>
              <w:pStyle w:val="Compact"/>
              <w:spacing w:line="240" w:lineRule="auto"/>
              <w:jc w:val="left"/>
            </w:pPr>
            <w:r>
              <w:rPr>
                <w:rFonts w:ascii="Times New Roman" w:hAnsi="Times New Roman"/>
                <w:sz w:val="20"/>
              </w:rPr>
              <w:t xml:space="preserve">70M</w:t>
            </w:r>
          </w:p>
        </w:tc>
        <w:tc>
          <w:tcPr>
            <w:tcW w:type="dxa" w:w="1181"/>
          </w:tcPr>
          <w:p>
            <w:pPr>
              <w:pStyle w:val="Compact"/>
              <w:spacing w:line="240" w:lineRule="auto"/>
              <w:jc w:val="center"/>
            </w:pPr>
            <w:r>
              <w:rPr>
                <w:rFonts w:ascii="Times New Roman" w:hAnsi="Times New Roman"/>
                <w:sz w:val="20"/>
              </w:rPr>
              <w:t xml:space="preserve">6</w:t>
            </w:r>
          </w:p>
        </w:tc>
        <w:tc>
          <w:tcPr>
            <w:tcW w:type="dxa" w:w="1181"/>
          </w:tcPr>
          <w:p>
            <w:pPr>
              <w:pStyle w:val="Compact"/>
              <w:spacing w:line="240" w:lineRule="auto"/>
              <w:jc w:val="center"/>
            </w:pPr>
            <w:r>
              <w:rPr>
                <w:rFonts w:ascii="Times New Roman" w:hAnsi="Times New Roman"/>
                <w:sz w:val="20"/>
              </w:rPr>
              <w:t xml:space="preserve">36</w:t>
            </w:r>
          </w:p>
        </w:tc>
        <w:tc>
          <w:tcPr>
            <w:tcW w:type="dxa" w:w="1181"/>
          </w:tcPr>
          <w:p>
            <w:pPr>
              <w:pStyle w:val="Compact"/>
              <w:spacing w:line="240" w:lineRule="auto"/>
              <w:jc w:val="center"/>
            </w:pPr>
            <w:r>
              <w:rPr>
                <w:rFonts w:ascii="Times New Roman" w:hAnsi="Times New Roman"/>
                <w:sz w:val="20"/>
              </w:rPr>
              <w:t xml:space="preserve">14 (39%)</w:t>
            </w:r>
          </w:p>
        </w:tc>
        <w:tc>
          <w:tcPr>
            <w:tcW w:type="dxa" w:w="1181"/>
          </w:tcPr>
          <w:p>
            <w:pPr>
              <w:pStyle w:val="Compact"/>
              <w:spacing w:line="240" w:lineRule="auto"/>
              <w:jc w:val="center"/>
            </w:pPr>
            <w:r>
              <w:rPr>
                <w:rFonts w:ascii="Times New Roman" w:hAnsi="Times New Roman"/>
                <w:sz w:val="20"/>
              </w:rPr>
              <w:t xml:space="preserve">5 (14%)</w:t>
            </w:r>
          </w:p>
        </w:tc>
        <w:tc>
          <w:tcPr>
            <w:tcW w:type="dxa" w:w="1181"/>
          </w:tcPr>
          <w:p>
            <w:pPr>
              <w:pStyle w:val="Compact"/>
              <w:spacing w:line="240" w:lineRule="auto"/>
              <w:jc w:val="center"/>
            </w:pPr>
            <w:r>
              <w:rPr>
                <w:rFonts w:ascii="Times New Roman" w:hAnsi="Times New Roman"/>
                <w:sz w:val="20"/>
              </w:rPr>
              <w:t xml:space="preserve">17 (47%)</w:t>
            </w:r>
          </w:p>
        </w:tc>
      </w:tr>
      <w:tr>
        <w:tc>
          <w:tcPr>
            <w:tcW w:type="dxa" w:w="3456"/>
          </w:tcPr>
          <w:p>
            <w:pPr>
              <w:pStyle w:val="Compact"/>
              <w:spacing w:line="240" w:lineRule="auto"/>
              <w:jc w:val="left"/>
            </w:pPr>
            <w:r>
              <w:rPr>
                <w:rFonts w:ascii="Times New Roman" w:hAnsi="Times New Roman"/>
                <w:sz w:val="20"/>
              </w:rPr>
              <w:t xml:space="preserve">160M</w:t>
            </w:r>
          </w:p>
        </w:tc>
        <w:tc>
          <w:tcPr>
            <w:tcW w:type="dxa" w:w="1181"/>
          </w:tcPr>
          <w:p>
            <w:pPr>
              <w:pStyle w:val="Compact"/>
              <w:spacing w:line="240" w:lineRule="auto"/>
              <w:jc w:val="center"/>
            </w:pPr>
            <w:r>
              <w:rPr>
                <w:rFonts w:ascii="Times New Roman" w:hAnsi="Times New Roman"/>
                <w:sz w:val="20"/>
              </w:rPr>
              <w:t xml:space="preserve">12</w:t>
            </w:r>
          </w:p>
        </w:tc>
        <w:tc>
          <w:tcPr>
            <w:tcW w:type="dxa" w:w="1181"/>
          </w:tcPr>
          <w:p>
            <w:pPr>
              <w:pStyle w:val="Compact"/>
              <w:spacing w:line="240" w:lineRule="auto"/>
              <w:jc w:val="center"/>
            </w:pPr>
            <w:r>
              <w:rPr>
                <w:rFonts w:ascii="Times New Roman" w:hAnsi="Times New Roman"/>
                <w:sz w:val="20"/>
              </w:rPr>
              <w:t xml:space="preserve">232</w:t>
            </w:r>
          </w:p>
        </w:tc>
        <w:tc>
          <w:tcPr>
            <w:tcW w:type="dxa" w:w="1181"/>
          </w:tcPr>
          <w:p>
            <w:pPr>
              <w:pStyle w:val="Compact"/>
              <w:spacing w:line="240" w:lineRule="auto"/>
              <w:jc w:val="center"/>
            </w:pPr>
            <w:r>
              <w:rPr>
                <w:rFonts w:ascii="Times New Roman" w:hAnsi="Times New Roman"/>
                <w:sz w:val="20"/>
              </w:rPr>
              <w:t xml:space="preserve">118 (51%)</w:t>
            </w:r>
          </w:p>
        </w:tc>
        <w:tc>
          <w:tcPr>
            <w:tcW w:type="dxa" w:w="1181"/>
          </w:tcPr>
          <w:p>
            <w:pPr>
              <w:pStyle w:val="Compact"/>
              <w:spacing w:line="240" w:lineRule="auto"/>
              <w:jc w:val="center"/>
            </w:pPr>
            <w:r>
              <w:rPr>
                <w:rFonts w:ascii="Times New Roman" w:hAnsi="Times New Roman"/>
                <w:sz w:val="20"/>
              </w:rPr>
              <w:t xml:space="preserve">26 (11%)</w:t>
            </w:r>
          </w:p>
        </w:tc>
        <w:tc>
          <w:tcPr>
            <w:tcW w:type="dxa" w:w="1181"/>
          </w:tcPr>
          <w:p>
            <w:pPr>
              <w:pStyle w:val="Compact"/>
              <w:spacing w:line="240" w:lineRule="auto"/>
              <w:jc w:val="center"/>
            </w:pPr>
            <w:r>
              <w:rPr>
                <w:rFonts w:ascii="Times New Roman" w:hAnsi="Times New Roman"/>
                <w:sz w:val="20"/>
              </w:rPr>
              <w:t xml:space="preserve">88 (38%)</w:t>
            </w:r>
          </w:p>
        </w:tc>
      </w:tr>
      <w:tr>
        <w:tc>
          <w:tcPr>
            <w:tcW w:type="dxa" w:w="3456"/>
          </w:tcPr>
          <w:p>
            <w:pPr>
              <w:pStyle w:val="Compact"/>
              <w:spacing w:line="240" w:lineRule="auto"/>
              <w:jc w:val="left"/>
            </w:pPr>
            <w:r>
              <w:rPr>
                <w:rFonts w:ascii="Times New Roman" w:hAnsi="Times New Roman"/>
                <w:sz w:val="20"/>
              </w:rPr>
              <w:t xml:space="preserve">410M</w:t>
            </w:r>
          </w:p>
        </w:tc>
        <w:tc>
          <w:tcPr>
            <w:tcW w:type="dxa" w:w="1181"/>
          </w:tcPr>
          <w:p>
            <w:pPr>
              <w:pStyle w:val="Compact"/>
              <w:spacing w:line="240" w:lineRule="auto"/>
              <w:jc w:val="center"/>
            </w:pPr>
            <w:r>
              <w:rPr>
                <w:rFonts w:ascii="Times New Roman" w:hAnsi="Times New Roman"/>
                <w:sz w:val="20"/>
              </w:rPr>
              <w:t xml:space="preserve">24</w:t>
            </w:r>
          </w:p>
        </w:tc>
        <w:tc>
          <w:tcPr>
            <w:tcW w:type="dxa" w:w="1181"/>
          </w:tcPr>
          <w:p>
            <w:pPr>
              <w:pStyle w:val="Compact"/>
              <w:spacing w:line="240" w:lineRule="auto"/>
              <w:jc w:val="center"/>
            </w:pPr>
            <w:r>
              <w:rPr>
                <w:rFonts w:ascii="Times New Roman" w:hAnsi="Times New Roman"/>
                <w:sz w:val="20"/>
              </w:rPr>
              <w:t xml:space="preserve">823</w:t>
            </w:r>
          </w:p>
        </w:tc>
        <w:tc>
          <w:tcPr>
            <w:tcW w:type="dxa" w:w="1181"/>
          </w:tcPr>
          <w:p>
            <w:pPr>
              <w:pStyle w:val="Compact"/>
              <w:spacing w:line="240" w:lineRule="auto"/>
              <w:jc w:val="center"/>
            </w:pPr>
            <w:r>
              <w:rPr>
                <w:rFonts w:ascii="Times New Roman" w:hAnsi="Times New Roman"/>
                <w:sz w:val="20"/>
              </w:rPr>
              <w:t xml:space="preserve">494 (60%)</w:t>
            </w:r>
          </w:p>
        </w:tc>
        <w:tc>
          <w:tcPr>
            <w:tcW w:type="dxa" w:w="1181"/>
          </w:tcPr>
          <w:p>
            <w:pPr>
              <w:pStyle w:val="Compact"/>
              <w:spacing w:line="240" w:lineRule="auto"/>
              <w:jc w:val="center"/>
            </w:pPr>
            <w:r>
              <w:rPr>
                <w:rFonts w:ascii="Times New Roman" w:hAnsi="Times New Roman"/>
                <w:sz w:val="20"/>
              </w:rPr>
              <w:t xml:space="preserve">108 (13%)</w:t>
            </w:r>
          </w:p>
        </w:tc>
        <w:tc>
          <w:tcPr>
            <w:tcW w:type="dxa" w:w="1181"/>
          </w:tcPr>
          <w:p>
            <w:pPr>
              <w:pStyle w:val="Compact"/>
              <w:spacing w:line="240" w:lineRule="auto"/>
              <w:jc w:val="center"/>
            </w:pPr>
            <w:r>
              <w:rPr>
                <w:rFonts w:ascii="Times New Roman" w:hAnsi="Times New Roman"/>
                <w:sz w:val="20"/>
              </w:rPr>
              <w:t xml:space="preserve">220 (27%)</w:t>
            </w:r>
          </w:p>
        </w:tc>
      </w:tr>
    </w:tbl>
    <w:p>
      <w:pPr>
        <w:pStyle w:val="BodyText"/>
      </w:pPr>
      <w:r>
        <w:t xml:space="preserve">The effect is a property of our implementation rather than of the method. Caching the corrected hidden states from layer to layer would remove the repeated passes; we did not implement this, so we cannot say how much it would reduce the cost ratio. The result does show that a transfer method’s gain and its cost have to be measured at the scale at which it will be used. The 410-million run is a single upgrade with a single seed, and its drift (0.46) is lower than that of the 160-million run it is compared with (0.60).</w:t>
      </w:r>
    </w:p>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8),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[4])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Three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 Finally, a transfer method’s cost ratio depends on model scale and implementation (in our runs ACT’s rose from 0.14 to 0.70 between 70 and 410 million parameters), so</w:t>
      </w:r>
      <w:r>
        <w:t xml:space="preserve"> </w:t>
      </w:r>
      <m:oMath>
        <m:sSub>
          <m:e>
            <m:r>
              <m:t>C</m:t>
            </m:r>
          </m:e>
          <m:sub>
            <m:r>
              <m:t>A</m:t>
            </m:r>
          </m:sub>
        </m:sSub>
      </m:oMath>
      <w:r>
        <w:t xml:space="preserve"> </w:t>
      </w:r>
      <w:r>
        <w:t xml:space="preserve">should be measured at the model size in use.</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 and at 410 million parameters, where its compute cost relative to retraining rose to 0.70, not even there.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ten upgrades of models with 70 to 410 million parameters, on a single task (GSM8K), with 200 evaluation examples each. The drift series covers one model family, and only the largest upgrade at 160 million parameters has a replicate; the 70- and 410-million runs have one seed each, and the 410-million run covers a single upgrade. The results do not speak to frontier models or to other tasks.</w:t>
      </w:r>
      <w:r>
        <w:t xml:space="preserve"> </w:t>
      </w:r>
      <w:r>
        <w:t xml:space="preserve">Third, the instruction-tuned pair is an unexplained exception, and we cannot say whether it reflects the upgrade type, the model scale, or something else. ACT’s relative compute cost rises with model size mainly because of repeated forward passes in our implementation (Section 7); we did not test whether caching removes the effect.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acknowledgments"/>
    <w:p>
      <w:pPr>
        <w:pStyle w:val="Heading1"/>
      </w:pPr>
      <w:r>
        <w:t xml:space="preserve">Acknowledgments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1"/>
    <w:bookmarkStart w:id="32"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2"/>
    <w:bookmarkStart w:id="33"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[6]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3"/>
    <w:bookmarkStart w:id="34" w:name="references"/>
    <w:p>
      <w:pPr>
        <w:pStyle w:val="Heading1"/>
      </w:pPr>
      <w:r>
        <w:t xml:space="preserve">References</w:t>
      </w:r>
    </w:p>
    <w:p>
      <w:pPr>
        <w:pStyle w:val="FirstParagraph"/>
      </w:pPr>
      <w:r>
        <w:t xml:space="preserve">[1] Michel Benaroch. 2002. Managing Information Technology Investment Risk: A Real Options Perspective.</w:t>
      </w:r>
      <w:r>
        <w:t xml:space="preserve"> </w:t>
      </w:r>
      <w:r>
        <w:rPr>
          <w:iCs/>
          <w:i/>
        </w:rPr>
        <w:t xml:space="preserve">Journal of Management Information Systems</w:t>
      </w:r>
      <w:r>
        <w:t xml:space="preserve"> </w:t>
      </w:r>
      <w:r>
        <w:t xml:space="preserve">19, 2 (2002), 43–84.</w:t>
      </w:r>
    </w:p>
    <w:p>
      <w:pPr>
        <w:pStyle w:val="BodyText"/>
      </w:pPr>
      <w:r>
        <w:t xml:space="preserve">[2] Michel Benaroch and Robert J. Kauffman. 1999. A Case for Using Real Options Pricing Analysis to Evaluate Information Technology Project Investments.</w:t>
      </w:r>
      <w:r>
        <w:t xml:space="preserve"> </w:t>
      </w:r>
      <w:r>
        <w:rPr>
          <w:iCs/>
          <w:i/>
        </w:rPr>
        <w:t xml:space="preserve">Information Systems Research</w:t>
      </w:r>
      <w:r>
        <w:t xml:space="preserve"> </w:t>
      </w:r>
      <w:r>
        <w:t xml:space="preserve">10, 1 (1999), 70–86.</w:t>
      </w:r>
    </w:p>
    <w:p>
      <w:pPr>
        <w:pStyle w:val="BodyText"/>
      </w:pPr>
      <w:r>
        <w:t xml:space="preserve">[3] Stella Biderman et al. 2023. Pythia: A Suite for Analyzing Large Language Models Across Training and Scaling. In</w:t>
      </w:r>
      <w:r>
        <w:t xml:space="preserve"> </w:t>
      </w:r>
      <w:r>
        <w:rPr>
          <w:iCs/>
          <w:i/>
        </w:rPr>
        <w:t xml:space="preserve">Proceedings of the 40th International Conference on Machine Learning</w:t>
      </w:r>
      <w:r>
        <w:t xml:space="preserve">.</w:t>
      </w:r>
    </w:p>
    <w:p>
      <w:pPr>
        <w:pStyle w:val="BodyText"/>
      </w:pPr>
      <w:r>
        <w:t xml:space="preserve">[4] Mark Broadie, Paul Glasserman, and Steven Kou. 1997. A Continuity Correction for Discrete Barrier Options.</w:t>
      </w:r>
      <w:r>
        <w:t xml:space="preserve"> </w:t>
      </w:r>
      <w:r>
        <w:rPr>
          <w:iCs/>
          <w:i/>
        </w:rPr>
        <w:t xml:space="preserve">Mathematical Finance</w:t>
      </w:r>
      <w:r>
        <w:t xml:space="preserve"> </w:t>
      </w:r>
      <w:r>
        <w:t xml:space="preserve">7, 4 (1997), 325–349.</w:t>
      </w:r>
    </w:p>
    <w:p>
      <w:pPr>
        <w:pStyle w:val="BodyText"/>
      </w:pPr>
      <w:r>
        <w:t xml:space="preserve">[5] Karl Cobbe et al. 2021. Training Verifiers to Solve Math Word Problems. arXiv:2110.14168.</w:t>
      </w:r>
    </w:p>
    <w:p>
      <w:pPr>
        <w:pStyle w:val="BodyText"/>
      </w:pPr>
      <w:r>
        <w:t xml:space="preserve">[6] Avinash K. Dixit and Robert S. Pindyck. 1994.</w:t>
      </w:r>
      <w:r>
        <w:t xml:space="preserve"> </w:t>
      </w:r>
      <w:r>
        <w:rPr>
          <w:iCs/>
          <w:i/>
        </w:rPr>
        <w:t xml:space="preserve">Investment under Uncertainty</w:t>
      </w:r>
      <w:r>
        <w:t xml:space="preserve">. Princeton University Press, Princeton, NJ.</w:t>
      </w:r>
    </w:p>
    <w:p>
      <w:pPr>
        <w:pStyle w:val="BodyText"/>
      </w:pPr>
      <w:r>
        <w:t xml:space="preserve">[7] Neil Houlsby et al. 2019. Parameter-Efficient Transfer Learning for NLP. In</w:t>
      </w:r>
      <w:r>
        <w:t xml:space="preserve"> </w:t>
      </w:r>
      <w:r>
        <w:rPr>
          <w:iCs/>
          <w:i/>
        </w:rPr>
        <w:t xml:space="preserve">Proceedings of the 36th International Conference on Machine Learning</w:t>
      </w:r>
      <w:r>
        <w:t xml:space="preserve">.</w:t>
      </w:r>
    </w:p>
    <w:p>
      <w:pPr>
        <w:pStyle w:val="BodyText"/>
      </w:pPr>
      <w:r>
        <w:t xml:space="preserve">[8] Edward J. Hu et al. 2022. LoRA: Low-Rank Adaptation of Large Language Models. In</w:t>
      </w:r>
      <w:r>
        <w:t xml:space="preserve"> </w:t>
      </w:r>
      <w:r>
        <w:rPr>
          <w:iCs/>
          <w:i/>
        </w:rPr>
        <w:t xml:space="preserve">International Conference on Learning Representations</w:t>
      </w:r>
      <w:r>
        <w:t xml:space="preserve">.</w:t>
      </w:r>
    </w:p>
    <w:p>
      <w:pPr>
        <w:pStyle w:val="BodyText"/>
      </w:pPr>
      <w:r>
        <w:t xml:space="preserve">[9] Gabriel Ilharco et al. 2023. Editing Models with Task Arithmetic. In</w:t>
      </w:r>
      <w:r>
        <w:t xml:space="preserve"> </w:t>
      </w:r>
      <w:r>
        <w:rPr>
          <w:iCs/>
          <w:i/>
        </w:rPr>
        <w:t xml:space="preserve">International Conference on Learning Representations</w:t>
      </w:r>
      <w:r>
        <w:t xml:space="preserve">.</w:t>
      </w:r>
    </w:p>
    <w:p>
      <w:pPr>
        <w:pStyle w:val="BodyText"/>
      </w:pPr>
      <w:r>
        <w:t xml:space="preserve">[10] James Kirkpatrick et al. 2017. Overcoming Catastrophic Forgetting in Neural Networks.</w:t>
      </w:r>
      <w:r>
        <w:t xml:space="preserve"> </w:t>
      </w:r>
      <w:r>
        <w:rPr>
          <w:iCs/>
          <w:i/>
        </w:rPr>
        <w:t xml:space="preserve">Proceedings of the National Academy of Sciences</w:t>
      </w:r>
      <w:r>
        <w:t xml:space="preserve"> </w:t>
      </w:r>
      <w:r>
        <w:t xml:space="preserve">114, 13 (2017), 3521–3526.</w:t>
      </w:r>
    </w:p>
    <w:p>
      <w:pPr>
        <w:pStyle w:val="BodyText"/>
      </w:pPr>
      <w:r>
        <w:t xml:space="preserve">[11] Robert McDonald and Daniel Siegel. 1986. The Value of Waiting to Invest.</w:t>
      </w:r>
      <w:r>
        <w:t xml:space="preserve"> </w:t>
      </w:r>
      <w:r>
        <w:rPr>
          <w:iCs/>
          <w:i/>
        </w:rPr>
        <w:t xml:space="preserve">The Quarterly Journal of Economics</w:t>
      </w:r>
      <w:r>
        <w:t xml:space="preserve"> </w:t>
      </w:r>
      <w:r>
        <w:t xml:space="preserve">101, 4 (1986), 707–727.</w:t>
      </w:r>
    </w:p>
    <w:p>
      <w:pPr>
        <w:pStyle w:val="BodyText"/>
      </w:pPr>
      <w:r>
        <w:t xml:space="preserve">[12] Robert C. Merton. 1976. Option Pricing When Underlying Stock Returns Are Discontinuous.</w:t>
      </w:r>
      <w:r>
        <w:t xml:space="preserve"> </w:t>
      </w:r>
      <w:r>
        <w:rPr>
          <w:iCs/>
          <w:i/>
        </w:rPr>
        <w:t xml:space="preserve">Journal of Financial Economics</w:t>
      </w:r>
      <w:r>
        <w:t xml:space="preserve"> </w:t>
      </w:r>
      <w:r>
        <w:t xml:space="preserve">3, 1–2 (1976), 125–144.</w:t>
      </w:r>
    </w:p>
    <w:p>
      <w:pPr>
        <w:pStyle w:val="BodyText"/>
      </w:pPr>
      <w:r>
        <w:t xml:space="preserve">[13] D. Sculley et al. 2015. Hidden Technical Debt in Machine Learning Systems. In</w:t>
      </w:r>
      <w:r>
        <w:t xml:space="preserve"> </w:t>
      </w:r>
      <w:r>
        <w:rPr>
          <w:iCs/>
          <w:i/>
        </w:rPr>
        <w:t xml:space="preserve">Advances in Neural Information Processing Systems 28</w:t>
      </w:r>
      <w:r>
        <w:t xml:space="preserve">.</w:t>
      </w:r>
    </w:p>
    <w:bookmarkEnd w:id="34"/>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2026-10-10T23:59:17Z</dcterms:created>
  <dcterms:modified xsi:type="dcterms:W3CDTF">2026-10-10T23:59:17Z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Within one model family, copying the old adapter restores 96 percent of the retraining benefit after a small upgrade, 55 percent after a larger one, and only 32 to 36 percent after the largest (two seeds); after instruction tuning it restores 71 percent. A label-free, closed-form transfer method, Anchored Calibration Transfer (ACT), improves on copying by an amount that rises steadily with the size of the upgrade. After the largest upgrade it restores 69 to 72 percent at about a third of the retraining compute time, which makes it the cost-minimizing policy for adapters whose annual value is roughly 1.8 to 4.4 times the retraining cost. The pattern repeats at 70 and 410 million parameters, but ACT’s compute time relative to retraining rises from 0.14 to 0.70 in our implementation, so at 410 million it no longer pays. After smaller upgrades its gain does not cover its cost, and on an instruction-tuned pair it gives no gain at all, for a reason we could not identify.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