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pPr>
      <w:r>
        <w:rPr/>
        <w:t xml:space="preserve">Article</w:t>
      </w:r>
    </w:p>
    <w:p>
      <w:pPr>
        <w:pStyle w:val="MDPI12title"/>
      </w:pPr>
      <w:r>
        <w:rPr/>
        <w:t xml:space="preserve">Is the Sampling Temperature the Agent's Decision State? A Reference-Based Indicator and Its Comparison with Entropy, Calibration and Semantic Entropy</w:t>
      </w:r>
    </w:p>
    <w:p>
      <w:pPr>
        <w:pStyle w:val="MDPI13authornames"/>
      </w:pPr>
      <w:r>
        <w:rPr/>
        <w:t xml:space="preserve">Ook Lee </w:t>
      </w:r>
      <w:r>
        <w:rPr>
          <w:vertAlign w:val="superscript"/>
        </w:rPr>
        <w:t xml:space="preserve">*</w:t>
      </w:r>
      <w:r>
        <w:rPr/>
        <w:t xml:space="preserve"> and Saeho Park</w:t>
      </w:r>
    </w:p>
    <w:tbl>
      <w:tblPr>
        <w:tblpPr w:vertAnchor="page" w:horzAnchor="margin" w:leftFromText="198" w:rightFromText="198" w:tblpX="0" w:tblpY="11407"/>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61citation"/>
              <w:rPr>
                <w:lang w:bidi="en-US"/>
              </w:rPr>
            </w:pPr>
            <w:r>
              <w:rPr>
                <w:b/>
                <w:lang w:bidi="en-US"/>
              </w:rPr>
              <w:t xml:space="preserve">Citation: </w:t>
            </w:r>
            <w:r>
              <w:rPr>
                <w:lang w:bidi="en-US"/>
              </w:rPr>
              <w:t>To be added by editorial staff during production.</w:t>
            </w:r>
          </w:p>
          <w:p>
            <w:pPr>
              <w:pStyle w:val="MDPI72copyright"/>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pPr>
        <w:pStyle w:val="MDPI16affiliation"/>
      </w:pPr>
      <w:r>
        <w:tab/>
        <w:t>Department of Information System, Hanyang University, Seoul, Korea</w:t>
      </w:r>
    </w:p>
    <w:p>
      <w:pPr>
        <w:pStyle w:val="MDPI16affiliation"/>
      </w:pPr>
      <w:r>
        <w:rPr>
          <w:b/>
        </w:rPr>
        <w:t>*</w:t>
      </w:r>
      <w:r>
        <w:tab/>
        <w:t>Correspondence: ooklee@hanyang.ac.kr</w:t>
      </w:r>
    </w:p>
    <w:p>
      <w:pPr>
        <w:pStyle w:val="MDPI17abstract"/>
        <w:jc w:val="left"/>
      </w:pPr>
      <w:r>
        <w:rPr>
          <w:b/>
        </w:rPr>
        <w:t>Abstract</w:t>
      </w:r>
    </w:p>
    <w:p>
      <w:pPr>
        <w:pStyle w:val="MDPI17abstract"/>
        <w:spacing w:before="0" w:after="0"/>
      </w:pPr>
      <w:r>
        <w:rPr/>
        <w:t xml:space="preserve">Operators of large language model (LLM) agents control reliability mainly through the sampling temperature, yet the temperature that governs an agent's choices may differ from the one that was set. We define the effective decision temperature, T</w:t>
      </w:r>
      <w:r>
        <w:rPr>
          <w:vertAlign w:val="subscript"/>
        </w:rPr>
        <w:t xml:space="preserve">eff</w:t>
      </w:r>
      <w:r>
        <w:rPr/>
        <w:t xml:space="preserve">, as the temperature at which an agent's chosen tokens are best explained by a reference valuation computed on a clean copy of the context, and state when it is identified. Using a synthetic agent and four open-weight models from three families on ordered-list tasks with a planted off-path attractor of graded strength, we test three hypotheses and compare T</w:t>
      </w:r>
      <w:r>
        <w:rPr>
          <w:vertAlign w:val="subscript"/>
        </w:rPr>
        <w:t xml:space="preserve">eff</w:t>
      </w:r>
      <w:r>
        <w:rPr/>
        <w:t xml:space="preserve"> with token entropy, confidence, expected calibration error (ECE) and a discrete semantic entropy. Accuracy rose and then fell with temperature for attractors of intermediate strength, peaking near T = 2 to 2.5 on the alphabet task, whereas weak attractors declined monotonically. Pressure raised T</w:t>
      </w:r>
      <w:r>
        <w:rPr>
          <w:vertAlign w:val="subscript"/>
        </w:rPr>
        <w:t xml:space="preserve">eff</w:t>
      </w:r>
      <w:r>
        <w:rPr/>
        <w:t xml:space="preserve"> in Qwen2.5-3B (5 of 7 identified matched cells) but not in Llama-3.2-3B (1 of 8); contamination had little effect. As a detector of distorted contexts, T</w:t>
      </w:r>
      <w:r>
        <w:rPr>
          <w:vertAlign w:val="subscript"/>
        </w:rPr>
        <w:t xml:space="preserve">eff</w:t>
      </w:r>
      <w:r>
        <w:rPr/>
        <w:t xml:space="preserve"> flagged 6 of 15 pressured cells, against 10 of 16 for entropy and 13 of 16 for label-dependent ECE. All label-free indicators missed fully locked-in trajectories. T</w:t>
      </w:r>
      <w:r>
        <w:rPr>
          <w:vertAlign w:val="subscript"/>
        </w:rPr>
        <w:t xml:space="preserve">eff</w:t>
      </w:r>
      <w:r>
        <w:rPr/>
        <w:t xml:space="preserve"> is best treated as a model-specific diagnostic, not a general-purpose monitor.</w:t>
      </w:r>
      <w:r>
        <w:rPr/>
        <w:t xml:space="preserve"> In a revision study with four further small models (0.5 to 1.7 billion parameters, three families, one inference stack), three wordings of each distortion, full-vocabulary generation and entailment-clustered semantic entropy, </w:t>
      </w:r>
      <w:r>
        <w:rPr>
          <w:i/>
        </w:rPr>
        <w:t>T</w:t>
      </w:r>
      <w:r>
        <w:rPr/>
        <w:t>eff</w:t>
      </w:r>
      <w:r>
        <w:rPr/>
        <w:t xml:space="preserve"> again did not outperform simpler indicators, and with six choices per trajectory its 95% interval spanned a median factor of about 9.</w:t>
      </w:r>
    </w:p>
    <w:p>
      <w:pPr>
        <w:pStyle w:val="MDPI18keywords"/>
      </w:pPr>
      <w:r>
        <w:rPr>
          <w:b/>
        </w:rPr>
        <w:t xml:space="preserve">Keywords: </w:t>
      </w:r>
      <w:r>
        <w:rPr/>
        <w:t xml:space="preserve">large language models; LLM agents; sampling temperature; effective decision temperature; quantal response; uncertainty estimation; calibration; semantic entropy; reliability monitoring</w:t>
      </w:r>
    </w:p>
    <w:p>
      <w:pPr>
        <w:pStyle w:val="MDPI19line"/>
        <w:rPr/>
      </w:pPr>
      <w:r>
        <w:rPr/>
      </w:r>
    </w:p>
    <w:p>
      <w:pPr>
        <w:pStyle w:val="MDPI21heading1"/>
        <w:keepNext/>
      </w:pPr>
      <w:r>
        <w:rPr/>
        <w:t xml:space="preserve">1. Introduction</w:t>
      </w:r>
    </w:p>
    <w:p>
      <w:pPr>
        <w:pStyle w:val="MDPI31text"/>
      </w:pPr>
      <w:r>
        <w:rPr/>
        <w:t xml:space="preserve">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pStyle w:val="MDPI31text"/>
      </w:pPr>
      <w:r>
        <w:rPr/>
        <w:t xml:space="preserve">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[1].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pStyle w:val="MDPI31text"/>
      </w:pPr>
      <w:r>
        <w:rPr/>
        <w:t xml:space="preserve">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[2,3]. Semantic entropy clusters sampled answers by meaning and measures their dispersion [4,5]. Failure taxonomies for multi-agent systems classify errors after they have been observed [6]. None of these tells the operator whether a concentrated distribution is concentrated on the right thing. A locked agent that repeats a wrong token is, by construction, a low-entropy agent.</w:t>
      </w:r>
    </w:p>
    <w:p>
      <w:pPr>
        <w:pStyle w:val="MDPI31text"/>
      </w:pPr>
      <w:r>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[7,8]. We define the effective decision temperature, T</w:t>
      </w:r>
      <w:r>
        <w:rPr>
          <w:vertAlign w:val="subscript"/>
        </w:rPr>
        <w:t xml:space="preserve">eff</w:t>
      </w:r>
      <w:r>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T</w:t>
      </w:r>
      <w:r>
        <w:rPr>
          <w:vertAlign w:val="subscript"/>
        </w:rPr>
        <w:t xml:space="preserve">eff</w:t>
      </w:r>
      <w:r>
        <w:rPr/>
        <w:t xml:space="preserve"> recovers the nominal temperature. If it does, T</w:t>
      </w:r>
      <w:r>
        <w:rPr>
          <w:vertAlign w:val="subscript"/>
        </w:rPr>
        <w:t xml:space="preserve">eff</w:t>
      </w:r>
      <w:r>
        <w:rPr/>
        <w:t xml:space="preserve"> departs from it, in either direction.</w:t>
      </w:r>
    </w:p>
    <w:p>
      <w:pPr>
        <w:pStyle w:val="MDPI35textbeforelist"/>
      </w:pPr>
      <w:r>
        <w:rPr/>
        <w:t xml:space="preserve">The contributions of the paper are as follows.</w:t>
      </w:r>
    </w:p>
    <w:p>
      <w:pPr>
        <w:pStyle w:val="MDPI38bullet"/>
        <w:numPr>
          <w:ilvl w:val="0"/>
          <w:numId w:val="3"/>
        </w:numPr>
      </w:pPr>
      <w:r>
        <w:rPr/>
        <w:t xml:space="preserve">We define T</w:t>
      </w:r>
      <w:r>
        <w:rPr>
          <w:vertAlign w:val="subscript"/>
        </w:rPr>
        <w:t xml:space="preserve">eff</w:t>
      </w:r>
      <w:r>
        <w:rPr/>
        <w:t xml:space="preserve">, state the conditions under which it is identified, and show where it is not: it is uninformative when the reference is also the sampling distribution, and weakly identified when the reference is saturated on the chosen tokens.</w:t>
      </w:r>
    </w:p>
    <w:p>
      <w:pPr>
        <w:pStyle w:val="MDPI38bullet"/>
      </w:pPr>
      <w:r>
        <w:rPr/>
        <w:t>We separate what the estimator identifies (a temperature-equivalent of the context's net effect on the logit scale, not decoder randomness), report its fit and a distributional variant, compare alternative reference constructions, and replace the fixed saturation threshold by an interval-based identification rule.</w:t>
      </w:r>
    </w:p>
    <w:p>
      <w:pPr>
        <w:pStyle w:val="MDPI38bullet"/>
        <w:numPr>
          <w:ilvl w:val="0"/>
          <w:numId w:val="3"/>
        </w:numPr>
      </w:pPr>
      <w:r>
        <w:rPr/>
        <w:t xml:space="preserve">We derive three hypotheses about pressure, content contamination and the relationship between temperature and accuracy, and we state the boundary conditions under which an interior optimum in temperature can and cannot occur.</w:t>
      </w:r>
    </w:p>
    <w:p>
      <w:pPr>
        <w:pStyle w:val="MDPI38bullet"/>
        <w:numPr>
          <w:ilvl w:val="0"/>
          <w:numId w:val="3"/>
        </w:numPr>
      </w:pPr>
      <w:r>
        <w:rPr/>
        <w:t xml:space="preserve">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MDPI38bullet"/>
        <w:numPr>
          <w:ilvl w:val="0"/>
          <w:numId w:val="3"/>
        </w:numPr>
      </w:pPr>
      <w:r>
        <w:rPr/>
        <w:t xml:space="preserve">We compare T</w:t>
      </w:r>
      <w:r>
        <w:rPr>
          <w:vertAlign w:val="subscript"/>
        </w:rPr>
        <w:t xml:space="preserve">eff</w:t>
      </w:r>
      <w:r>
        <w:rPr/>
        <w:t xml:space="preserve"> head to head with token entropy, confidence, expected calibration error and a discrete form of semantic entropy, and we identify the situations in which each indicator is blind.</w:t>
      </w:r>
    </w:p>
    <w:p>
      <w:pPr>
        <w:pStyle w:val="MDPI31text"/>
      </w:pPr>
      <w:r>
        <w:rPr/>
        <w:t xml:space="preserve">The results are mixed, and we report them as such. An accuracy peak at intermediate temperature appears for attractors of intermediate strength and not for weak ones, but the boundary with strong attractors is not clean. Pressure raises T</w:t>
      </w:r>
      <w:r>
        <w:rPr>
          <w:vertAlign w:val="subscript"/>
        </w:rPr>
        <w:t xml:space="preserve">eff</w:t>
      </w:r>
      <w:r>
        <w:rPr/>
        <w:t xml:space="preserve"> in the Qwen models but not in Llama-3.2-3B, contamination has little measurable effect, and T</w:t>
      </w:r>
      <w:r>
        <w:rPr>
          <w:vertAlign w:val="subscript"/>
        </w:rPr>
        <w:t xml:space="preserve">eff</w:t>
      </w:r>
      <w:r>
        <w:rPr/>
        <w:t xml:space="preserve"> does not outperform simpler indicators as a detector of distorted contexts. No label-free indicator, T</w:t>
      </w:r>
      <w:r>
        <w:rPr>
          <w:vertAlign w:val="subscript"/>
        </w:rPr>
        <w:t xml:space="preserve">eff</w:t>
      </w:r>
      <w:r>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pStyle w:val="MDPI21heading1"/>
        <w:keepNext/>
      </w:pPr>
      <w:r>
        <w:rPr/>
        <w:t xml:space="preserve">2. Related Work</w:t>
      </w:r>
    </w:p>
    <w:p>
      <w:pPr>
        <w:pStyle w:val="MDPI22heading2"/>
        <w:keepNext/>
      </w:pPr>
      <w:r>
        <w:rPr/>
        <w:t xml:space="preserve">2.1. Decoding Temperature and Sampling</w:t>
      </w:r>
    </w:p>
    <w:p>
      <w:pPr>
        <w:pStyle w:val="MDPI31text"/>
      </w:pPr>
      <w:r>
        <w:rPr/>
        <w:t xml:space="preserve">The softmax with a temperature parameter is a standard component of neural sequence models and of knowledge distillation [9]. In language generation, low temperatures and greedy decoding tend to produce repetitive text, whereas high temperatures produce incoherent text, and truncation schemes such as nucleus sampling were introduced to navigate this trade-off [1].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pStyle w:val="MDPI22heading2"/>
        <w:keepNext/>
      </w:pPr>
      <w:r>
        <w:rPr/>
        <w:t xml:space="preserve">2.2. Uncertainty, Calibration and Semantic Entropy</w:t>
      </w:r>
    </w:p>
    <w:p>
      <w:pPr>
        <w:pStyle w:val="MDPI31text"/>
      </w:pPr>
      <w:r>
        <w:rPr/>
        <w:t xml:space="preserve">Work on uncertainty in language models asks whether the model's expressed or implied confidence tracks its correctness. Larger models are partly able to judge whether they know the answer to a question [3], and modern neural networks are often miscalibrated, a property commonly summarized by the expected calibration error [2]. Because a single answer can be phrased in many ways, token-level entropy conflates lexical and semantic uncertainty. Semantic entropy addresses this by sampling several answers, grouping those that mean the same thing and computing the entropy over the groups [4,5].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r>
        <w:rPr/>
        <w:t xml:space="preserve"> Estimating semantic equivalence reliably is itself a representation problem. Entailment-based clustering relies on a natural-language-inference model [20,21], whereas evaluation metrics that combine lexical overlap with semantic similarity, such as ROUGE-SEM [22], and representation-learning approaches to correcting surface errors, such as MCRSpell [23], illustrate how much the outcome depends on the quality of the learned representation. We use an entailment model only for the free-generation semantic-entropy baseline (Section 5.12) and do not evaluate its reliability.</w:t>
      </w:r>
    </w:p>
    <w:p>
      <w:pPr>
        <w:pStyle w:val="MDPI22heading2"/>
        <w:keepNext/>
      </w:pPr>
      <w:r>
        <w:rPr/>
        <w:t xml:space="preserve">2.3. Failure Analysis of LLM Agents</w:t>
      </w:r>
    </w:p>
    <w:p>
      <w:pPr>
        <w:pStyle w:val="MDPI31text"/>
      </w:pPr>
      <w:r>
        <w:rPr/>
        <w:t xml:space="preserve">Empirical studies of multi-agent LLM systems catalogue failure modes such as specification problems, inter-agent misalignment and inadequate verification [6]. Such taxonomies are valuable for debugging, but they work retrospectively on observed failures. Human-automation research suggests a further difficulty, namely that operators stop acting on alarms that they have learned are uninformative [10]. An indicator intended for deployment therefore needs to be interpretable, and its failure conditions need to be known.</w:t>
      </w:r>
    </w:p>
    <w:p>
      <w:pPr>
        <w:pStyle w:val="MDPI22heading2"/>
        <w:keepNext/>
      </w:pPr>
      <w:r>
        <w:rPr/>
        <w:t xml:space="preserve">2.4. Softmax Sampling as a Random-Utility Choice</w:t>
      </w:r>
    </w:p>
    <w:p>
      <w:pPr>
        <w:pStyle w:val="MDPI31text"/>
      </w:pPr>
      <w:r>
        <w:rPr/>
        <w:t xml:space="preserve">The use of the softmax as a choice rule has a long history outside machine learning. In discrete-choice econometrics, the logit model follows from additive extreme-value noise on utilities [7]. In game theory, quantal response equilibrium replaces best responses by noisy best responses of the same form, which makes the precision parameter an index of bounded rationality [8,11].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[12],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[13], so we make no claim about machine experience.</w:t>
      </w:r>
      <w:r>
        <w:rPr/>
        <w:t xml:space="preserve"> The estimator in Section 3.2 is a quasi-likelihood in the sense of White [19]: when the reference family is misspecified, the maximizer converges to the member of the family closest in Kullback-Leibler divergence to the true choice distribution, and the log likelihood is a strictly proper scoring rule [24].</w:t>
      </w:r>
    </w:p>
    <w:p>
      <w:pPr>
        <w:pStyle w:val="MDPI21heading1"/>
        <w:keepNext/>
      </w:pPr>
      <w:r>
        <w:rPr/>
        <w:t xml:space="preserve">3. The Effective Decision Temperature</w:t>
      </w:r>
    </w:p>
    <w:p>
      <w:pPr>
        <w:pStyle w:val="MDPI22heading2"/>
        <w:keepNext/>
      </w:pPr>
      <w:r>
        <w:rPr/>
        <w:t xml:space="preserve">3.1. The Choice Rule</w:t>
      </w:r>
    </w:p>
    <w:p>
      <w:pPr>
        <w:pStyle w:val="MDPI31text"/>
      </w:pPr>
      <w:r>
        <w:rPr/>
        <w:t xml:space="preserve">Let </w:t>
      </w:r>
      <w:r>
        <w:rPr>
          <w:i/>
        </w:rPr>
        <w:t xml:space="preserve">z</w:t>
      </w:r>
      <w:r>
        <w:rPr/>
        <w:t xml:space="preserve"> denote the logits that a model assigns to a set of candidate tokens at some step, and let </w:t>
      </w:r>
      <w:r>
        <w:rPr>
          <w:i/>
        </w:rPr>
        <w:t xml:space="preserve">T</w:t>
      </w:r>
      <w:r>
        <w:rPr/>
        <w:t xml:space="preserve"> &gt; 0 be the sampling temperature. The model selects candidate </w:t>
      </w:r>
      <w:r>
        <w:rPr>
          <w:i/>
        </w:rPr>
        <w:t xml:space="preserve">y</w:t>
      </w:r>
      <w:r>
        <w:rPr/>
        <w:t xml:space="preserve"> with probability</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p</w:t>
            </w:r>
            <w:r>
              <w:rPr/>
              <w:t xml:space="preserve">(</w:t>
            </w:r>
            <w:r>
              <w:rPr>
                <w:i/>
              </w:rPr>
              <w:t xml:space="preserve">y</w:t>
            </w:r>
            <w:r>
              <w:rPr/>
              <w:t xml:space="preserve"> | </w:t>
            </w:r>
            <w:r>
              <w:rPr>
                <w:i/>
              </w:rPr>
              <w:t xml:space="preserve">z</w:t>
            </w:r>
            <w:r>
              <w:rPr/>
              <w:t xml:space="preserve">, </w:t>
            </w:r>
            <w:r>
              <w:rPr>
                <w:i/>
              </w:rPr>
              <w:t xml:space="preserve">T</w:t>
            </w:r>
            <w:r>
              <w:rPr/>
              <w:t xml:space="preserve">) = exp(</w:t>
            </w:r>
            <w:r>
              <w:rPr>
                <w:i/>
              </w:rPr>
              <w:t xml:space="preserve">z</w:t>
            </w:r>
            <w:r>
              <w:rPr>
                <w:i/>
                <w:vertAlign w:val="subscript"/>
              </w:rPr>
              <w:t xml:space="preserve">y</w:t>
            </w:r>
            <w:r>
              <w:rPr/>
              <w:t xml:space="preserve"> / </w:t>
            </w:r>
            <w:r>
              <w:rPr>
                <w:i/>
              </w:rPr>
              <w:t xml:space="preserve">T</w:t>
            </w:r>
            <w:r>
              <w:rPr/>
              <w:t xml:space="preserve">) / Σ</w:t>
            </w:r>
            <w:r>
              <w:rPr>
                <w:i/>
                <w:vertAlign w:val="subscript"/>
              </w:rPr>
              <w:t xml:space="preserve">k</w:t>
            </w:r>
            <w:r>
              <w:rPr/>
              <w:t xml:space="preserve"> exp(</w:t>
            </w:r>
            <w:r>
              <w:rPr>
                <w:i/>
              </w:rPr>
              <w:t xml:space="preserve">z</w:t>
            </w:r>
            <w:r>
              <w:rPr>
                <w:i/>
                <w:vertAlign w:val="subscript"/>
              </w:rPr>
              <w:t xml:space="preserve">k</w:t>
            </w:r>
            <w:r>
              <w:rPr/>
              <w:t xml:space="preserve"> / </w:t>
            </w:r>
            <w:r>
              <w:rPr>
                <w:i/>
              </w:rPr>
              <w:t xml:space="preserve">T</w:t>
            </w:r>
            <w:r>
              <w:rPr/>
              <w:t xml:space="preserve">).</w:t>
            </w:r>
          </w:p>
        </w:tc>
        <w:tc>
          <w:tcPr>
            <w:tcW w:w="430" w:type="dxa"/>
            <w:vAlign w:val="center"/>
          </w:tcPr>
          <w:p>
            <w:pPr>
              <w:pStyle w:val="MDPI3aequationnumber"/>
            </w:pPr>
            <w:r>
              <w:rPr/>
              <w:t xml:space="preserve">(1)</w:t>
            </w:r>
          </w:p>
        </w:tc>
      </w:tr>
    </w:tbl>
    <w:p>
      <w:pPr>
        <w:pStyle w:val="MDPI32textnoindent"/>
      </w:pPr>
      <w:r>
        <w:rPr/>
        <w:t xml:space="preserve">Sampling from Equation (1) is equivalent to adding independent Gumbel noise, scaled by </w:t>
      </w:r>
      <w:r>
        <w:rPr>
          <w:i/>
        </w:rPr>
        <w:t xml:space="preserve">T</w:t>
      </w:r>
      <w:r>
        <w:rPr/>
        <w:t xml:space="preserve">, to every logit and selecting the largest perturbed value. This is the random-utility representation of the logit rule, and it makes </w:t>
      </w:r>
      <w:r>
        <w:rPr>
          <w:i/>
        </w:rPr>
        <w:t xml:space="preserve">T</w:t>
      </w:r>
      <w:r>
        <w:rPr/>
        <w:t xml:space="preserve"> the scale of the random component of choice, just as the inverse of the precision parameter λ plays that role in quantal response theory. The entropy of the distribution, </w:t>
      </w:r>
      <w:r>
        <w:rPr>
          <w:i/>
        </w:rPr>
        <w:t xml:space="preserve">H</w:t>
      </w:r>
      <w:r>
        <w:rPr/>
        <w:t xml:space="preserve"> = −Σ </w:t>
      </w:r>
      <w:r>
        <w:rPr>
          <w:i/>
        </w:rPr>
        <w:t xml:space="preserve">p</w:t>
      </w:r>
      <w:r>
        <w:rPr/>
        <w:t xml:space="preserve"> log </w:t>
      </w:r>
      <w:r>
        <w:rPr>
          <w:i/>
        </w:rPr>
        <w:t xml:space="preserve">p</w:t>
      </w:r>
      <w:r>
        <w:rPr/>
        <w:t xml:space="preserve">, tends to zero as </w:t>
      </w:r>
      <w:r>
        <w:rPr>
          <w:i/>
        </w:rPr>
        <w:t xml:space="preserve">T</w:t>
      </w:r>
      <w:r>
        <w:rPr/>
        <w:t xml:space="preserve"> tends to zero and grows toward the logarithm of the number of candidates as </w:t>
      </w:r>
      <w:r>
        <w:rPr>
          <w:i/>
        </w:rPr>
        <w:t xml:space="preserve">T</w:t>
      </w:r>
      <w:r>
        <w:rPr/>
        <w:t xml:space="preserve"> grows. Both the distribution and the chosen token are observable in an open-weight model, which is what allows a behavioural construct to be turned into a measurement.</w:t>
      </w:r>
    </w:p>
    <w:p>
      <w:pPr>
        <w:pStyle w:val="MDPI22heading2"/>
        <w:keepNext/>
      </w:pPr>
      <w:r>
        <w:rPr/>
        <w:t xml:space="preserve">3.2. Definition of the Effective Decision Temperature</w:t>
      </w:r>
    </w:p>
    <w:p>
      <w:pPr>
        <w:pStyle w:val="MDPI31text"/>
      </w:pPr>
      <w:r>
        <w:rPr/>
        <w:t xml:space="preserve">Consider a trajectory of choices </w:t>
      </w:r>
      <w:r>
        <w:rPr>
          <w:i/>
        </w:rPr>
        <w:t xml:space="preserve">y</w:t>
      </w:r>
      <w:r>
        <w:rPr>
          <w:vertAlign w:val="subscript"/>
        </w:rPr>
        <w:t xml:space="preserve">1</w:t>
      </w:r>
      <w:r>
        <w:rPr/>
        <w:t xml:space="preserve">, ..., </w:t>
      </w:r>
      <w:r>
        <w:rPr>
          <w:i/>
        </w:rPr>
        <w:t xml:space="preserve">y</w:t>
      </w:r>
      <w:r>
        <w:rPr>
          <w:i/>
          <w:vertAlign w:val="subscript"/>
        </w:rPr>
        <w:t xml:space="preserve">n</w:t>
      </w:r>
      <w:r>
        <w:rPr/>
        <w:t xml:space="preserve"> produced by an agent in a context </w:t>
      </w:r>
      <w:r>
        <w:rPr>
          <w:i/>
        </w:rPr>
        <w:t xml:space="preserve">C</w:t>
      </w:r>
      <w:r>
        <w:rPr/>
        <w:t xml:space="preserve">. Let </w:t>
      </w:r>
      <w:r>
        <w:rPr>
          <w:i/>
        </w:rPr>
        <w:t xml:space="preserve">v</w:t>
      </w:r>
      <w:r>
        <w:rPr>
          <w:i/>
          <w:vertAlign w:val="subscript"/>
        </w:rPr>
        <w:t xml:space="preserve">t</w:t>
      </w:r>
      <w:r>
        <w:rPr/>
        <w:t xml:space="preserve"> be the reference logits at step </w:t>
      </w:r>
      <w:r>
        <w:rPr>
          <w:i/>
        </w:rPr>
        <w:t xml:space="preserve">t</w:t>
      </w:r>
      <w:r>
        <w:rPr/>
        <w:t xml:space="preserve">, defined as the logits the same model produces at that step on the same task and the same history, with the distorting content removed from the context. The effective decision temperature is the maximum-likelihood temperature of the reference choice model,</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T</w:t>
            </w:r>
            <w:r>
              <w:rPr>
                <w:vertAlign w:val="subscript"/>
              </w:rPr>
              <w:t xml:space="preserve">eff</w:t>
            </w:r>
            <w:r>
              <w:rPr/>
              <w:t xml:space="preserve"> = argmin</w:t>
            </w:r>
            <w:r>
              <w:rPr>
                <w:i/>
                <w:vertAlign w:val="subscript"/>
              </w:rPr>
              <w:t xml:space="preserve">T</w:t>
            </w:r>
            <w:r>
              <w:rPr/>
              <w:t xml:space="preserve"> − Σ</w:t>
            </w:r>
            <w:r>
              <w:rPr>
                <w:i/>
                <w:vertAlign w:val="subscript"/>
              </w:rPr>
              <w:t xml:space="preserve">t</w:t>
            </w:r>
            <w:r>
              <w:rPr/>
              <w:t xml:space="preserve"> log </w:t>
            </w:r>
            <w:r>
              <w:rPr>
                <w:i/>
              </w:rPr>
              <w:t xml:space="preserve">p</w:t>
            </w:r>
            <w:r>
              <w:rPr/>
              <w:t xml:space="preserve">(</w:t>
            </w:r>
            <w:r>
              <w:rPr>
                <w:i/>
              </w:rPr>
              <w:t xml:space="preserve">y</w:t>
            </w:r>
            <w:r>
              <w:rPr>
                <w:i/>
                <w:vertAlign w:val="subscript"/>
              </w:rPr>
              <w:t xml:space="preserve">t</w:t>
            </w:r>
            <w:r>
              <w:rPr/>
              <w:t xml:space="preserve"> | </w:t>
            </w:r>
            <w:r>
              <w:rPr>
                <w:i/>
              </w:rPr>
              <w:t xml:space="preserve">v</w:t>
            </w:r>
            <w:r>
              <w:rPr>
                <w:i/>
                <w:vertAlign w:val="subscript"/>
              </w:rPr>
              <w:t xml:space="preserve">t</w:t>
            </w:r>
            <w:r>
              <w:rPr/>
              <w:t xml:space="preserve">, </w:t>
            </w:r>
            <w:r>
              <w:rPr>
                <w:i/>
              </w:rPr>
              <w:t xml:space="preserve">T</w:t>
            </w:r>
            <w:r>
              <w:rPr/>
              <w:t xml:space="preserve">),</w:t>
            </w:r>
          </w:p>
        </w:tc>
        <w:tc>
          <w:tcPr>
            <w:tcW w:w="430" w:type="dxa"/>
            <w:vAlign w:val="center"/>
          </w:tcPr>
          <w:p>
            <w:pPr>
              <w:pStyle w:val="MDPI3aequationnumber"/>
            </w:pPr>
            <w:r>
              <w:rPr/>
              <w:t xml:space="preserve">(2)</w:t>
            </w:r>
          </w:p>
        </w:tc>
      </w:tr>
    </w:tbl>
    <w:p>
      <w:pPr>
        <w:pStyle w:val="MDPI32textnoindent"/>
      </w:pPr>
      <w:r>
        <w:rPr/>
        <w:t xml:space="preserve">where </w:t>
      </w:r>
      <w:r>
        <w:rPr>
          <w:i/>
        </w:rPr>
        <w:t xml:space="preserve">p</w:t>
      </w:r>
      <w:r>
        <w:rPr/>
        <w:t xml:space="preserve"> is given by Equation (1) applied to </w:t>
      </w:r>
      <w:r>
        <w:rPr>
          <w:i/>
        </w:rPr>
        <w:t xml:space="preserve">v</w:t>
      </w:r>
      <w:r>
        <w:rPr>
          <w:i/>
          <w:vertAlign w:val="subscript"/>
        </w:rPr>
        <w:t xml:space="preserve">t</w:t>
      </w:r>
      <w:r>
        <w:rPr/>
        <w:t xml:space="preserve">. The definition has a direct reading. If the context does not alter the model's valuations, </w:t>
      </w:r>
      <w:r>
        <w:rPr>
          <w:i/>
        </w:rPr>
        <w:t xml:space="preserve">v</w:t>
      </w:r>
      <w:r>
        <w:rPr>
          <w:i/>
          <w:vertAlign w:val="subscript"/>
        </w:rPr>
        <w:t xml:space="preserve">t</w:t>
      </w:r>
      <w:r>
        <w:rPr/>
        <w:t xml:space="preserve"> equals the sampling logits and T</w:t>
      </w:r>
      <w:r>
        <w:rPr>
          <w:vertAlign w:val="subscript"/>
        </w:rPr>
        <w:t xml:space="preserve">eff</w:t>
      </w:r>
      <w:r>
        <w:rPr/>
        <w:t xml:space="preserve"> estimates the nominal temperature. If the context alters the valuations, the chosen tokens are explained less well by the reference, and T</w:t>
      </w:r>
      <w:r>
        <w:rPr>
          <w:vertAlign w:val="subscript"/>
        </w:rPr>
        <w:t xml:space="preserve">eff</w:t>
      </w:r>
      <w:r>
        <w:rPr/>
        <w:t xml:space="preserve"> departs from </w:t>
      </w:r>
      <w:r>
        <w:rPr>
          <w:i/>
        </w:rPr>
        <w:t xml:space="preserve">T</w:t>
      </w:r>
      <w:r>
        <w:rPr/>
        <w:t xml:space="preserve">. A value above </w:t>
      </w:r>
      <w:r>
        <w:rPr>
          <w:i/>
        </w:rPr>
        <w:t xml:space="preserve">T</w:t>
      </w:r>
      <w:r>
        <w:rPr/>
        <w:t xml:space="preserve"> means that the choices are noisier, relative to the reference, than the nominal temperature implies. A value below </w:t>
      </w:r>
      <w:r>
        <w:rPr>
          <w:i/>
        </w:rPr>
        <w:t xml:space="preserve">T</w:t>
      </w:r>
      <w:r>
        <w:rPr/>
        <w:t xml:space="preserve">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pStyle w:val="MDPI22heading2"/>
        <w:keepNext/>
      </w:pPr>
      <w:r>
        <w:rPr/>
        <w:t xml:space="preserve">3.3. Identification and Limits of the Estimator</w:t>
      </w:r>
    </w:p>
    <w:p>
      <w:pPr>
        <w:pStyle w:val="MDPI31text"/>
      </w:pPr>
      <w:r>
        <w:rPr/>
        <w:t xml:space="preserve">Four properties of the estimator matter for its use. First, T</w:t>
      </w:r>
      <w:r>
        <w:rPr>
          <w:vertAlign w:val="subscript"/>
        </w:rPr>
        <w:t xml:space="preserve">eff</w:t>
      </w:r>
      <w:r>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w:t>
      </w:r>
      <w:r>
        <w:rPr>
          <w:i/>
        </w:rPr>
        <w:t xml:space="preserve">T</w:t>
      </w:r>
      <w:r>
        <w:rPr/>
        <w:t xml:space="preserve">, and the estimate falls on the lower boundary of the search grid. </w:t>
      </w:r>
      <w:r>
        <w:rPr/>
        <w:t>We flag such cells as not identified rather than interpreting the boundary value; Section 3.3 replaces the fixed saturation threshold by an interval-based rule.</w:t>
      </w:r>
      <w:r>
        <w:rPr/>
        <w:t xml:space="preserve"> Third, T</w:t>
      </w:r>
      <w:r>
        <w:rPr>
          <w:vertAlign w:val="subscript"/>
        </w:rPr>
        <w:t xml:space="preserve">eff</w:t>
      </w:r>
      <w:r>
        <w:rPr/>
        <w:t xml:space="preserve"> captures only a scale. It cannot represent a change in the ordering of the candidates, so a poor fit would be a signal in its own right. </w:t>
      </w:r>
      <w:r>
        <w:rPr/>
        <w:t>Fit quality is analysed in Sections 3.3 and 5.10.</w:t>
      </w:r>
      <w:r>
        <w:rPr/>
        <w:t xml:space="preserve"> Fourth, the estimator needs access to the logits of the candidate tokens and a second forward pass per step to compute the reference. Interfaces that return only the top-ranked log-probabilities force the computation onto a truncated support.</w:t>
      </w:r>
    </w:p>
    <w:p>
      <w:pPr>
        <w:pStyle w:val="MDPI31text"/>
      </w:pPr>
      <w:r>
        <w:rPr>
          <w:b/>
        </w:rPr>
        <w:t xml:space="preserve">What the estimator identifies. </w:t>
      </w:r>
      <w:r>
        <w:rPr/>
        <w:t xml:space="preserve">The estimator does not separate a context-induced change of preference scale from a change of decision randomness, and we no longer describe it as doing so. Suppose the context rescales the sampling logits, </w:t>
      </w:r>
      <w:r>
        <w:rPr>
          <w:i/>
        </w:rPr>
        <w:t>z</w:t>
      </w:r>
      <w:r>
        <w:rPr/>
        <w:t>t</w:t>
      </w:r>
      <w:r>
        <w:rPr/>
        <w:t xml:space="preserve"> = </w:t>
      </w:r>
      <w:r>
        <w:rPr>
          <w:i/>
        </w:rPr>
        <w:t>a v</w:t>
      </w:r>
      <w:r>
        <w:rPr/>
        <w:t>t</w:t>
      </w:r>
      <w:r>
        <w:rPr/>
        <w:t xml:space="preserve">. Then </w:t>
      </w:r>
      <w:r>
        <w:rPr>
          <w:i/>
        </w:rPr>
        <w:t>p</w:t>
      </w:r>
      <w:r>
        <w:rPr/>
        <w:t>(</w:t>
      </w:r>
      <w:r>
        <w:rPr>
          <w:i/>
        </w:rPr>
        <w:t>y</w:t>
      </w:r>
      <w:r>
        <w:rPr/>
        <w:t xml:space="preserve"> | </w:t>
      </w:r>
      <w:r>
        <w:rPr>
          <w:i/>
        </w:rPr>
        <w:t>z</w:t>
      </w:r>
      <w:r>
        <w:rPr/>
        <w:t>t</w:t>
      </w:r>
      <w:r>
        <w:rPr/>
        <w:t xml:space="preserve">, </w:t>
      </w:r>
      <w:r>
        <w:rPr>
          <w:i/>
        </w:rPr>
        <w:t>T</w:t>
      </w:r>
      <w:r>
        <w:rPr/>
        <w:t xml:space="preserve">) = </w:t>
      </w:r>
      <w:r>
        <w:rPr>
          <w:i/>
        </w:rPr>
        <w:t>p</w:t>
      </w:r>
      <w:r>
        <w:rPr/>
        <w:t>(</w:t>
      </w:r>
      <w:r>
        <w:rPr>
          <w:i/>
        </w:rPr>
        <w:t>y</w:t>
      </w:r>
      <w:r>
        <w:rPr/>
        <w:t xml:space="preserve"> | </w:t>
      </w:r>
      <w:r>
        <w:rPr>
          <w:i/>
        </w:rPr>
        <w:t>v</w:t>
      </w:r>
      <w:r>
        <w:rPr/>
        <w:t>t</w:t>
      </w:r>
      <w:r>
        <w:rPr/>
        <w:t xml:space="preserve">, </w:t>
      </w:r>
      <w:r>
        <w:rPr>
          <w:i/>
        </w:rPr>
        <w:t>T</w:t>
      </w:r>
      <w:r>
        <w:rPr/>
        <w:t>/</w:t>
      </w:r>
      <w:r>
        <w:rPr>
          <w:i/>
        </w:rPr>
        <w:t>a</w:t>
      </w:r>
      <w:r>
        <w:rPr/>
        <w:t xml:space="preserve">), so </w:t>
      </w:r>
      <w:r>
        <w:rPr>
          <w:i/>
        </w:rPr>
        <w:t>T</w:t>
      </w:r>
      <w:r>
        <w:rPr/>
        <w:t>eff</w:t>
      </w:r>
      <w:r>
        <w:rPr/>
        <w:t xml:space="preserve"> converges to </w:t>
      </w:r>
      <w:r>
        <w:rPr>
          <w:i/>
        </w:rPr>
        <w:t>T</w:t>
      </w:r>
      <w:r>
        <w:rPr/>
        <w:t>/</w:t>
      </w:r>
      <w:r>
        <w:rPr>
          <w:i/>
        </w:rPr>
        <w:t>a</w:t>
      </w:r>
      <w:r>
        <w:rPr/>
        <w:t>: a context that sharpens preferences (</w:t>
      </w:r>
      <w:r>
        <w:rPr>
          <w:i/>
        </w:rPr>
        <w:t>a</w:t>
      </w:r>
      <w:r>
        <w:rPr/>
        <w:t xml:space="preserve"> &gt; 1) and a lower sampler temperature give the same choice distribution, and choice data identify only their ratio. In our protocol the sampler is not a free unknown. The operator sets </w:t>
      </w:r>
      <w:r>
        <w:rPr>
          <w:i/>
        </w:rPr>
        <w:t>T</w:t>
      </w:r>
      <w:r>
        <w:rPr/>
        <w:t xml:space="preserve">, the logits </w:t>
      </w:r>
      <w:r>
        <w:rPr>
          <w:i/>
        </w:rPr>
        <w:t>z</w:t>
      </w:r>
      <w:r>
        <w:rPr/>
        <w:t>t</w:t>
      </w:r>
      <w:r>
        <w:rPr/>
        <w:t xml:space="preserve"> are observable, and the draws are exactly those of Equation (1). A gap between </w:t>
      </w:r>
      <w:r>
        <w:rPr>
          <w:i/>
        </w:rPr>
        <w:t>T</w:t>
      </w:r>
      <w:r>
        <w:rPr/>
        <w:t>eff</w:t>
      </w:r>
      <w:r>
        <w:rPr/>
        <w:t xml:space="preserve"> and </w:t>
      </w:r>
      <w:r>
        <w:rPr>
          <w:i/>
        </w:rPr>
        <w:t>T</w:t>
      </w:r>
      <w:r>
        <w:rPr/>
        <w:t xml:space="preserve"> is therefore caused by the effect of the context on the logits and not by a change in the sampler. </w:t>
      </w:r>
      <w:r>
        <w:rPr>
          <w:i/>
        </w:rPr>
        <w:t>T</w:t>
      </w:r>
      <w:r>
        <w:rPr/>
        <w:t>eff</w:t>
      </w:r>
      <w:r>
        <w:rPr/>
        <w:t>/</w:t>
      </w:r>
      <w:r>
        <w:rPr>
          <w:i/>
        </w:rPr>
        <w:t>T</w:t>
      </w:r>
      <w:r>
        <w:rPr/>
        <w:t xml:space="preserve"> = 1/</w:t>
      </w:r>
      <w:r>
        <w:rPr>
          <w:i/>
        </w:rPr>
        <w:t>a</w:t>
      </w:r>
      <w:r>
        <w:rPr/>
        <w:t xml:space="preserve"> is the temperature-equivalent of that effect on the logit scale. In a simulation with 12 candidates and 600 choices (Appendix E, S1), </w:t>
      </w:r>
      <w:r>
        <w:rPr>
          <w:i/>
        </w:rPr>
        <w:t>T</w:t>
      </w:r>
      <w:r>
        <w:rPr/>
        <w:t>eff</w:t>
      </w:r>
      <w:r>
        <w:rPr/>
        <w:t xml:space="preserve"> recovered </w:t>
      </w:r>
      <w:r>
        <w:rPr>
          <w:i/>
        </w:rPr>
        <w:t>T</w:t>
      </w:r>
      <w:r>
        <w:rPr/>
        <w:t>/</w:t>
      </w:r>
      <w:r>
        <w:rPr>
          <w:i/>
        </w:rPr>
        <w:t>a</w:t>
      </w:r>
      <w:r>
        <w:rPr/>
        <w:t xml:space="preserve"> to within 12% for </w:t>
      </w:r>
      <w:r>
        <w:rPr>
          <w:i/>
        </w:rPr>
        <w:t>a</w:t>
      </w:r>
      <w:r>
        <w:rPr/>
        <w:t xml:space="preserve"> in {0.5, 1, 2} and </w:t>
      </w:r>
      <w:r>
        <w:rPr>
          <w:i/>
        </w:rPr>
        <w:t>T</w:t>
      </w:r>
      <w:r>
        <w:rPr/>
        <w:t xml:space="preserve"> in {0.8, 2.0}.</w:t>
      </w:r>
    </w:p>
    <w:p>
      <w:pPr>
        <w:pStyle w:val="MDPI31text"/>
      </w:pPr>
      <w:r>
        <w:rPr>
          <w:b/>
        </w:rPr>
        <w:t xml:space="preserve">Misspecification, fit and the part that scale cannot explain. </w:t>
      </w:r>
      <w:r>
        <w:rPr/>
        <w:t xml:space="preserve">When the context also changes the ordering of the candidates, </w:t>
      </w:r>
      <w:r>
        <w:rPr>
          <w:i/>
        </w:rPr>
        <w:t>z</w:t>
      </w:r>
      <w:r>
        <w:rPr/>
        <w:t>t</w:t>
      </w:r>
      <w:r>
        <w:rPr/>
        <w:t xml:space="preserve"> = </w:t>
      </w:r>
      <w:r>
        <w:rPr>
          <w:i/>
        </w:rPr>
        <w:t>a v</w:t>
      </w:r>
      <w:r>
        <w:rPr/>
        <w:t>t</w:t>
      </w:r>
      <w:r>
        <w:rPr/>
        <w:t xml:space="preserve"> + </w:t>
      </w:r>
      <w:r>
        <w:rPr>
          <w:i/>
        </w:rPr>
        <w:t>r</w:t>
      </w:r>
      <w:r>
        <w:rPr/>
        <w:t>t</w:t>
      </w:r>
      <w:r>
        <w:rPr/>
        <w:t>, Equation (2) is a quasi-likelihood. Its maximizer converges to the pseudo-true value τ</w:t>
      </w:r>
      <w:r>
        <w:rPr>
          <w:vertAlign w:val="superscript"/>
        </w:rPr>
        <w:t>*</w:t>
      </w:r>
      <w:r>
        <w:rPr/>
        <w:t xml:space="preserve"> = argmin</w:t>
      </w:r>
      <w:r>
        <w:rPr/>
        <w:t>τ</w:t>
      </w:r>
      <w:r>
        <w:rPr/>
        <w:t xml:space="preserve"> E KL(</w:t>
      </w:r>
      <w:r>
        <w:rPr>
          <w:i/>
        </w:rPr>
        <w:t>p</w:t>
      </w:r>
      <w:r>
        <w:rPr/>
        <w:t>(·|</w:t>
      </w:r>
      <w:r>
        <w:rPr>
          <w:i/>
        </w:rPr>
        <w:t>z</w:t>
      </w:r>
      <w:r>
        <w:rPr/>
        <w:t>,</w:t>
      </w:r>
      <w:r>
        <w:rPr>
          <w:i/>
        </w:rPr>
        <w:t>T</w:t>
      </w:r>
      <w:r>
        <w:rPr/>
        <w:t xml:space="preserve">) ‖ </w:t>
      </w:r>
      <w:r>
        <w:rPr>
          <w:i/>
        </w:rPr>
        <w:t>p</w:t>
      </w:r>
      <w:r>
        <w:rPr/>
        <w:t>(·|</w:t>
      </w:r>
      <w:r>
        <w:rPr>
          <w:i/>
        </w:rPr>
        <w:t>v</w:t>
      </w:r>
      <w:r>
        <w:rPr/>
        <w:t xml:space="preserve">,τ)) [19], and the minimized divergence κ measures what no rescaling of the reference can reproduce. Every choice is drawn conditionally on the realized history, so Equation (2) is a partial likelihood, and we resample whole trajectories for inference. A reordering context does not show up as a different </w:t>
      </w:r>
      <w:r>
        <w:rPr>
          <w:i/>
        </w:rPr>
        <w:t>T</w:t>
      </w:r>
      <w:r>
        <w:rPr/>
        <w:t>eff</w:t>
      </w:r>
      <w:r>
        <w:rPr/>
        <w:t xml:space="preserve">. In the simulation it sent the estimate to the upper grid bound (20) and lowered the log-likelihood per step to the uniform value (between -2.49 and -2.47 against log(1/12) = -2.48), whereas pure rescaling gave -2.37 to -0.57. </w:t>
      </w:r>
      <w:r>
        <w:rPr>
          <w:i/>
        </w:rPr>
        <w:t>T</w:t>
      </w:r>
      <w:r>
        <w:rPr/>
        <w:t>eff</w:t>
      </w:r>
      <w:r>
        <w:rPr/>
        <w:t xml:space="preserve"> must therefore be reported together with its fit, and we do so from Section 5.9 on.</w:t>
      </w:r>
    </w:p>
    <w:p>
      <w:pPr>
        <w:pStyle w:val="MDPI31text"/>
      </w:pPr>
      <w:r>
        <w:rPr>
          <w:b/>
        </w:rPr>
        <w:t xml:space="preserve">Distributional estimator. </w:t>
      </w:r>
      <w:r>
        <w:rPr/>
        <w:t xml:space="preserve">Because the sampling logits are observable in an open-weight model, we also compute </w:t>
      </w:r>
      <w:r>
        <w:rPr>
          <w:i/>
        </w:rPr>
        <w:t>T</w:t>
      </w:r>
      <w:r>
        <w:rPr/>
        <w:t>eff</w:t>
      </w:r>
      <w:r>
        <w:rPr>
          <w:vertAlign w:val="superscript"/>
        </w:rPr>
        <w:t>dist</w:t>
      </w:r>
      <w:r>
        <w:rPr/>
        <w:t xml:space="preserve"> = argmin</w:t>
      </w:r>
      <w:r>
        <w:rPr/>
        <w:t>τ</w:t>
      </w:r>
      <w:r>
        <w:rPr/>
        <w:t xml:space="preserve"> (1/</w:t>
      </w:r>
      <w:r>
        <w:rPr>
          <w:i/>
        </w:rPr>
        <w:t>n</w:t>
      </w:r>
      <w:r>
        <w:rPr/>
        <w:t>) Σ</w:t>
      </w:r>
      <w:r>
        <w:rPr/>
        <w:t>t</w:t>
      </w:r>
      <w:r>
        <w:rPr/>
        <w:t xml:space="preserve"> KL(</w:t>
      </w:r>
      <w:r>
        <w:rPr>
          <w:i/>
        </w:rPr>
        <w:t>p</w:t>
      </w:r>
      <w:r>
        <w:rPr/>
        <w:t>(·|</w:t>
      </w:r>
      <w:r>
        <w:rPr>
          <w:i/>
        </w:rPr>
        <w:t>z</w:t>
      </w:r>
      <w:r>
        <w:rPr/>
        <w:t>t</w:t>
      </w:r>
      <w:r>
        <w:rPr/>
        <w:t>,</w:t>
      </w:r>
      <w:r>
        <w:rPr>
          <w:i/>
        </w:rPr>
        <w:t>T</w:t>
      </w:r>
      <w:r>
        <w:rPr/>
        <w:t xml:space="preserve">) ‖ </w:t>
      </w:r>
      <w:r>
        <w:rPr>
          <w:i/>
        </w:rPr>
        <w:t>p</w:t>
      </w:r>
      <w:r>
        <w:rPr/>
        <w:t>(·|</w:t>
      </w:r>
      <w:r>
        <w:rPr>
          <w:i/>
        </w:rPr>
        <w:t>v</w:t>
      </w:r>
      <w:r>
        <w:rPr/>
        <w:t>t</w:t>
      </w:r>
      <w:r>
        <w:rPr/>
        <w:t>,τ)). It uses the whole sampling distribution instead of one draw per step, so it has no draw noise, and its minimum κ is the non-scale part of the mismatch. It requires the same two forward passes as the sample-based estimator. The sample-based form remains the one that applies when only sampled tokens and the reference are available.</w:t>
      </w:r>
    </w:p>
    <w:p>
      <w:pPr>
        <w:pStyle w:val="MDPI31text"/>
      </w:pPr>
      <w:r>
        <w:rPr>
          <w:b/>
        </w:rPr>
        <w:t xml:space="preserve">Reference construction. </w:t>
      </w:r>
      <w:r>
        <w:rPr/>
        <w:t>The reference in the main experiments is the clean-context distribution on the realized history ("same history"). It inherits the history, so once the realized history contains a run of repeated wrong tokens the reference can itself be saturated on the repeated token (Table 9), and the estimator is then blind. We therefore compare it with two repairs that change the history seen by the reference and not the prompt. In the "gold-repaired" reference, the history is replaced by the correct list prefix ending at the item last produced. It needs the task order and is therefore label-like. In the "de-duplicated" reference, runs of identical consecutive items are collapsed, which is label-free and needs only a repetition detector. We also tried a position-blind reference that sees only the first item, but in these tasks it always predicts the second item, which is the attractor itself, so it is degenerate and is not used. No reference is neutral. The same-history reference measures consistency with the model's own conditioned valuation, and the repaired references measure departure from the valuation under a repaired history, which confounds the distorting prompt with the repair. The label-based reference (one-hot on the correct item) is the log-likelihood of correctness and underlies ECE. A reference from a different model is possible but not tested.</w:t>
      </w:r>
    </w:p>
    <w:p>
      <w:pPr>
        <w:pStyle w:val="MDPI31text"/>
      </w:pPr>
      <w:r>
        <w:rPr>
          <w:b/>
        </w:rPr>
        <w:t xml:space="preserve">Uncertainty and the identification rule. </w:t>
      </w:r>
      <w:r>
        <w:rPr/>
        <w:t xml:space="preserve">The pooled log-likelihood over a cell gives a profile-likelihood interval for </w:t>
      </w:r>
      <w:r>
        <w:rPr>
          <w:i/>
        </w:rPr>
        <w:t>T</w:t>
      </w:r>
      <w:r>
        <w:rPr/>
        <w:t>eff</w:t>
      </w:r>
      <w:r>
        <w:rPr/>
        <w:t xml:space="preserve"> (all τ on the grid with a likelihood-ratio statistic below 3.84), and we also report a percentile bootstrap over trajectories. A cell is called identified if its 95% profile interval is bounded away from both ends of the grid and its upper bound is at most four times its lower bound. The earlier rule (mean reference probability of the chosen items at most 0.999) is kept as a secondary flag. The simulations in Appendix E (S2, S3) show why a fixed threshold is not enough: with six choices the interval is wide whatever the reference, and the interval widens sharply well below a mean reference probability of 0.999.</w:t>
      </w:r>
    </w:p>
    <w:p>
      <w:pPr>
        <w:pStyle w:val="MDPI22heading2"/>
        <w:keepNext/>
      </w:pPr>
      <w:r>
        <w:rPr/>
        <w:t xml:space="preserve">3.4. Hypotheses</w:t>
      </w:r>
    </w:p>
    <w:p>
      <w:pPr>
        <w:pStyle w:val="MDPI31text"/>
      </w:pPr>
      <w:r>
        <w:rPr/>
        <w:t xml:space="preserve">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pStyle w:val="MDPI31text"/>
      </w:pPr>
      <w:r>
        <w:rPr>
          <w:b/>
        </w:rPr>
        <w:t xml:space="preserve">H1.</w:t>
      </w:r>
      <w:r>
        <w:rPr/>
        <w:t xml:space="preserve"> Contextual pressure raises the effective decision temperature above the nominal sampling temperature.</w:t>
      </w:r>
    </w:p>
    <w:p>
      <w:pPr>
        <w:pStyle w:val="MDPI31text"/>
      </w:pPr>
      <w:r>
        <w:rPr>
          <w:b/>
        </w:rPr>
        <w:t xml:space="preserve">H2.</w:t>
      </w:r>
      <w:r>
        <w:rPr/>
        <w:t xml:space="preserve">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pStyle w:val="MDPI31text"/>
      </w:pPr>
      <w:r>
        <w:rPr>
          <w:b/>
        </w:rPr>
        <w:t xml:space="preserve">H3.</w:t>
      </w:r>
      <w:r>
        <w:rPr/>
        <w:t xml:space="preserve"> Content contamination strengthens the effect of pressure. The strengthening should be larger when the contaminated content lies close to a dominant response than when it is diffuse negative sentiment.</w:t>
      </w:r>
    </w:p>
    <w:p>
      <w:pPr>
        <w:pStyle w:val="MDPI31text"/>
      </w:pPr>
      <w:r>
        <w:rPr/>
        <w:t xml:space="preserve">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pStyle w:val="MDPI31text"/>
      </w:pPr>
      <w:r>
        <w:rPr/>
        <w:t xml:space="preserve"> A stylised model makes the boundary explicit. Let there be </w:t>
      </w:r>
      <w:r>
        <w:rPr>
          <w:i/>
        </w:rPr>
        <w:t>K</w:t>
      </w:r>
      <w:r>
        <w:rPr/>
        <w:t xml:space="preserve"> candidates, let the attractor have a logit advantage Δ &gt; 0 over the correct item, and let the other </w:t>
      </w:r>
      <w:r>
        <w:rPr>
          <w:i/>
        </w:rPr>
        <w:t>K</w:t>
      </w:r>
      <w:r>
        <w:rPr/>
        <w:t xml:space="preserve"> - 2 candidates lie </w:t>
      </w:r>
      <w:r>
        <w:rPr>
          <w:i/>
        </w:rPr>
        <w:t>g</w:t>
      </w:r>
      <w:r>
        <w:rPr/>
        <w:t xml:space="preserve"> below the correct item. The probability of the correct item is </w:t>
      </w:r>
      <w:r>
        <w:rPr>
          <w:i/>
        </w:rPr>
        <w:t>p</w:t>
      </w:r>
      <w:r>
        <w:rPr/>
        <w:t>c</w:t>
      </w:r>
      <w:r>
        <w:rPr/>
        <w:t>(</w:t>
      </w:r>
      <w:r>
        <w:rPr>
          <w:i/>
        </w:rPr>
        <w:t>T</w:t>
      </w:r>
      <w:r>
        <w:rPr/>
        <w:t>) = [exp(Δ/</w:t>
      </w:r>
      <w:r>
        <w:rPr>
          <w:i/>
        </w:rPr>
        <w:t>T</w:t>
      </w:r>
      <w:r>
        <w:rPr/>
        <w:t>) + 1 + (</w:t>
      </w:r>
      <w:r>
        <w:rPr>
          <w:i/>
        </w:rPr>
        <w:t>K</w:t>
      </w:r>
      <w:r>
        <w:rPr/>
        <w:t xml:space="preserve"> - 2)exp(-</w:t>
      </w:r>
      <w:r>
        <w:rPr>
          <w:i/>
        </w:rPr>
        <w:t>g</w:t>
      </w:r>
      <w:r>
        <w:rPr/>
        <w:t>/</w:t>
      </w:r>
      <w:r>
        <w:rPr>
          <w:i/>
        </w:rPr>
        <w:t>T</w:t>
      </w:r>
      <w:r>
        <w:rPr/>
        <w:t>)]</w:t>
      </w:r>
      <w:r>
        <w:rPr>
          <w:vertAlign w:val="superscript"/>
        </w:rPr>
        <w:t>-1</w:t>
      </w:r>
      <w:r>
        <w:rPr/>
        <w:t xml:space="preserve">. It is zero at </w:t>
      </w:r>
      <w:r>
        <w:rPr>
          <w:i/>
        </w:rPr>
        <w:t>T</w:t>
      </w:r>
      <w:r>
        <w:rPr/>
        <w:t xml:space="preserve"> → 0, tends to 1/</w:t>
      </w:r>
      <w:r>
        <w:rPr>
          <w:i/>
        </w:rPr>
        <w:t>K</w:t>
      </w:r>
      <w:r>
        <w:rPr/>
        <w:t xml:space="preserve"> as </w:t>
      </w:r>
      <w:r>
        <w:rPr>
          <w:i/>
        </w:rPr>
        <w:t>T</w:t>
      </w:r>
      <w:r>
        <w:rPr/>
        <w:t xml:space="preserve"> → ∞, and the denominator behaves as </w:t>
      </w:r>
      <w:r>
        <w:rPr>
          <w:i/>
        </w:rPr>
        <w:t>K</w:t>
      </w:r>
      <w:r>
        <w:rPr/>
        <w:t xml:space="preserve"> + [Δ - (</w:t>
      </w:r>
      <w:r>
        <w:rPr>
          <w:i/>
        </w:rPr>
        <w:t>K</w:t>
      </w:r>
      <w:r>
        <w:rPr/>
        <w:t xml:space="preserve"> - 2)</w:t>
      </w:r>
      <w:r>
        <w:rPr>
          <w:i/>
        </w:rPr>
        <w:t>g</w:t>
      </w:r>
      <w:r>
        <w:rPr/>
        <w:t>]/</w:t>
      </w:r>
      <w:r>
        <w:rPr>
          <w:i/>
        </w:rPr>
        <w:t>T</w:t>
      </w:r>
      <w:r>
        <w:rPr/>
        <w:t xml:space="preserve"> at high </w:t>
      </w:r>
      <w:r>
        <w:rPr>
          <w:i/>
        </w:rPr>
        <w:t>T</w:t>
      </w:r>
      <w:r>
        <w:rPr/>
        <w:t>. An interior maximum therefore exists if and only if Δ &lt; (</w:t>
      </w:r>
      <w:r>
        <w:rPr>
          <w:i/>
        </w:rPr>
        <w:t>K</w:t>
      </w:r>
      <w:r>
        <w:rPr/>
        <w:t xml:space="preserve"> - 2)</w:t>
      </w:r>
      <w:r>
        <w:rPr>
          <w:i/>
        </w:rPr>
        <w:t>g</w:t>
      </w:r>
      <w:r>
        <w:rPr/>
        <w:t>. Otherwise accuracy rises monotonically to 1/</w:t>
      </w:r>
      <w:r>
        <w:rPr>
          <w:i/>
        </w:rPr>
        <w:t>K</w:t>
      </w:r>
      <w:r>
        <w:rPr/>
        <w:t xml:space="preserve">. We confirmed the condition numerically for 36 combinations of </w:t>
      </w:r>
      <w:r>
        <w:rPr>
          <w:i/>
        </w:rPr>
        <w:t>K</w:t>
      </w:r>
      <w:r>
        <w:rPr/>
        <w:t xml:space="preserve"> (8, 26), </w:t>
      </w:r>
      <w:r>
        <w:rPr>
          <w:i/>
        </w:rPr>
        <w:t>g</w:t>
      </w:r>
      <w:r>
        <w:rPr/>
        <w:t xml:space="preserve"> and Δ (agreement 100%; Appendix E, S4). Strength is continuous, the boundary depends on </w:t>
      </w:r>
      <w:r>
        <w:rPr>
          <w:i/>
        </w:rPr>
        <w:t>K</w:t>
      </w:r>
      <w:r>
        <w:rPr/>
        <w:t xml:space="preserve"> and </w:t>
      </w:r>
      <w:r>
        <w:rPr>
          <w:i/>
        </w:rPr>
        <w:t>g</w:t>
      </w:r>
      <w:r>
        <w:rPr/>
        <w:t xml:space="preserve"> and hence on the task and the model, and the peak temperature grows with Δ (for </w:t>
      </w:r>
      <w:r>
        <w:rPr>
          <w:i/>
        </w:rPr>
        <w:t>K</w:t>
      </w:r>
      <w:r>
        <w:rPr/>
        <w:t xml:space="preserve"> = 26 and </w:t>
      </w:r>
      <w:r>
        <w:rPr>
          <w:i/>
        </w:rPr>
        <w:t>g</w:t>
      </w:r>
      <w:r>
        <w:rPr/>
        <w:t xml:space="preserve"> = 1 it is 0.6, 1.9, 5.1 and 18.7 for Δ = 1, 3, 6 and 12). A strong attractor can thus have an interior peak when </w:t>
      </w:r>
      <w:r>
        <w:rPr>
          <w:i/>
        </w:rPr>
        <w:t>g</w:t>
      </w:r>
      <w:r>
        <w:rPr/>
        <w:t xml:space="preserve"> is large, and its peak can lie beyond any fixed grid. This is a one-step caricature and not a model of the trajectories.</w:t>
      </w:r>
    </w:p>
    <w:p>
      <w:pPr>
        <w:pStyle w:val="MDPI31text"/>
      </w:pPr>
      <w:r>
        <w:rPr/>
        <w:t xml:space="preserve">We also discuss, but do not test, two implications. A context reset should remove distortion that resides in the context but not distortion that resides in the weights. And monitoring T</w:t>
      </w:r>
      <w:r>
        <w:rPr>
          <w:vertAlign w:val="subscript"/>
        </w:rPr>
        <w:t xml:space="preserve">eff</w:t>
      </w:r>
      <w:r>
        <w:rPr/>
        <w:t xml:space="preserve"> could inform a state-contingent decision about whether to leave a task with an agent. Both require designs that go beyond the present study.</w:t>
      </w:r>
    </w:p>
    <w:p>
      <w:pPr>
        <w:pStyle w:val="MDPI22heading2"/>
        <w:keepNext/>
      </w:pPr>
      <w:r>
        <w:rPr/>
        <w:t xml:space="preserve">3.5. Comparison Indicators</w:t>
      </w:r>
    </w:p>
    <w:p>
      <w:pPr>
        <w:pStyle w:val="MDPI31text"/>
      </w:pPr>
      <w:r>
        <w:rPr/>
        <w:t xml:space="preserve">We compare T</w:t>
      </w:r>
      <w:r>
        <w:rPr>
          <w:vertAlign w:val="subscript"/>
        </w:rPr>
        <w:t xml:space="preserve">eff</w:t>
      </w:r>
      <w:r>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pStyle w:val="MDPI41tablecaption"/>
        <w:keepNext/>
      </w:pPr>
      <w:r>
        <w:rPr>
          <w:b/>
        </w:rPr>
        <w:t xml:space="preserve">Table 1.</w:t>
      </w:r>
      <w:r>
        <w:rPr/>
        <w:t xml:space="preserve"> Constructs and indicators.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965"/>
        <w:gridCol w:w="2945"/>
        <w:gridCol w:w="2948"/>
      </w:tblGrid>
      <w:tr>
        <w:trPr>
          <w:cantSplit/>
          <w:tblHeader/>
        </w:trPr>
        <w:tc>
          <w:tcPr>
            <w:tcW w:w="1965" w:type="dxa"/>
            <w:tcBorders>
              <w:top w:val="single" w:sz="8" w:space="0" w:color="000000"/>
              <w:bottom w:val="single" w:sz="4" w:space="0" w:color="000000"/>
            </w:tcBorders>
            <w:vAlign w:val="center"/>
          </w:tcPr>
          <w:p>
            <w:pPr>
              <w:pStyle w:val="MDPI42tablebody"/>
              <w:jc w:val="left"/>
            </w:pPr>
            <w:r>
              <w:rPr>
                <w:b/>
                <w:sz w:val="18"/>
                <w:szCs w:val="18"/>
              </w:rPr>
              <w:t xml:space="preserve">Construct</w:t>
            </w:r>
          </w:p>
        </w:tc>
        <w:tc>
          <w:tcPr>
            <w:tcW w:w="2945" w:type="dxa"/>
            <w:tcBorders>
              <w:top w:val="single" w:sz="8" w:space="0" w:color="000000"/>
              <w:bottom w:val="single" w:sz="4" w:space="0" w:color="000000"/>
            </w:tcBorders>
            <w:vAlign w:val="center"/>
          </w:tcPr>
          <w:p>
            <w:pPr>
              <w:pStyle w:val="MDPI42tablebody"/>
              <w:jc w:val="left"/>
            </w:pPr>
            <w:r>
              <w:rPr>
                <w:b/>
                <w:sz w:val="18"/>
                <w:szCs w:val="18"/>
              </w:rPr>
              <w:t xml:space="preserve">Definition</w:t>
            </w:r>
          </w:p>
        </w:tc>
        <w:tc>
          <w:tcPr>
            <w:tcW w:w="2948" w:type="dxa"/>
            <w:tcBorders>
              <w:top w:val="single" w:sz="8" w:space="0" w:color="000000"/>
              <w:bottom w:val="single" w:sz="4" w:space="0" w:color="000000"/>
            </w:tcBorders>
            <w:vAlign w:val="center"/>
          </w:tcPr>
          <w:p>
            <w:pPr>
              <w:pStyle w:val="MDPI42tablebody"/>
              <w:jc w:val="left"/>
            </w:pPr>
            <w:r>
              <w:rPr>
                <w:b/>
                <w:sz w:val="18"/>
                <w:szCs w:val="18"/>
              </w:rPr>
              <w:t xml:space="preserve">Operationalization</w:t>
            </w:r>
          </w:p>
        </w:tc>
      </w:tr>
      <w:tr>
        <w:trPr>
          <w:cantSplit/>
        </w:trPr>
        <w:tc>
          <w:tcPr>
            <w:tcW w:w="1965" w:type="dxa"/>
            <w:tcBorders/>
            <w:vAlign w:val="center"/>
          </w:tcPr>
          <w:p>
            <w:pPr>
              <w:pStyle w:val="MDPI42tablebody"/>
              <w:jc w:val="left"/>
            </w:pPr>
            <w:r>
              <w:rPr>
                <w:sz w:val="18"/>
                <w:szCs w:val="18"/>
              </w:rPr>
              <w:t xml:space="preserve">Contextual pressure</w:t>
            </w:r>
          </w:p>
        </w:tc>
        <w:tc>
          <w:tcPr>
            <w:tcW w:w="2945" w:type="dxa"/>
            <w:tcBorders/>
            <w:vAlign w:val="center"/>
          </w:tcPr>
          <w:p>
            <w:pPr>
              <w:pStyle w:val="MDPI42tablebody"/>
              <w:jc w:val="left"/>
            </w:pPr>
            <w:r>
              <w:rPr>
                <w:sz w:val="18"/>
                <w:szCs w:val="18"/>
              </w:rPr>
              <w:t xml:space="preserve">Input that imposes mutually unsatisfiable demands or penalties.</w:t>
            </w:r>
          </w:p>
        </w:tc>
        <w:tc>
          <w:tcPr>
            <w:tcW w:w="2948" w:type="dxa"/>
            <w:tcBorders/>
            <w:vAlign w:val="center"/>
          </w:tcPr>
          <w:p>
            <w:pPr>
              <w:pStyle w:val="MDPI42tablebody"/>
              <w:jc w:val="left"/>
            </w:pPr>
            <w:r>
              <w:rPr>
                <w:sz w:val="18"/>
                <w:szCs w:val="18"/>
              </w:rPr>
              <w:t xml:space="preserve">Added rule text with contradictory demands (Appendix A).</w:t>
            </w:r>
          </w:p>
        </w:tc>
      </w:tr>
      <w:tr>
        <w:trPr>
          <w:cantSplit/>
        </w:trPr>
        <w:tc>
          <w:tcPr>
            <w:tcW w:w="1965" w:type="dxa"/>
            <w:tcBorders/>
            <w:vAlign w:val="center"/>
          </w:tcPr>
          <w:p>
            <w:pPr>
              <w:pStyle w:val="MDPI42tablebody"/>
              <w:jc w:val="left"/>
            </w:pPr>
            <w:r>
              <w:rPr>
                <w:sz w:val="18"/>
                <w:szCs w:val="18"/>
              </w:rPr>
              <w:t xml:space="preserve">Content contamination</w:t>
            </w:r>
          </w:p>
        </w:tc>
        <w:tc>
          <w:tcPr>
            <w:tcW w:w="2945" w:type="dxa"/>
            <w:tcBorders/>
            <w:vAlign w:val="center"/>
          </w:tcPr>
          <w:p>
            <w:pPr>
              <w:pStyle w:val="MDPI42tablebody"/>
              <w:jc w:val="left"/>
            </w:pPr>
            <w:r>
              <w:rPr>
                <w:sz w:val="18"/>
                <w:szCs w:val="18"/>
              </w:rPr>
              <w:t xml:space="preserve">Negatively valenced or defensive content in the context.</w:t>
            </w:r>
          </w:p>
        </w:tc>
        <w:tc>
          <w:tcPr>
            <w:tcW w:w="2948" w:type="dxa"/>
            <w:tcBorders/>
            <w:vAlign w:val="center"/>
          </w:tcPr>
          <w:p>
            <w:pPr>
              <w:pStyle w:val="MDPI42tablebody"/>
              <w:jc w:val="left"/>
            </w:pPr>
            <w:r>
              <w:rPr>
                <w:sz w:val="18"/>
                <w:szCs w:val="18"/>
              </w:rPr>
              <w:t xml:space="preserve">Added text predicting failure, without contradictory demands.</w:t>
            </w:r>
          </w:p>
        </w:tc>
      </w:tr>
      <w:tr>
        <w:trPr>
          <w:cantSplit/>
        </w:trPr>
        <w:tc>
          <w:tcPr>
            <w:tcW w:w="1965" w:type="dxa"/>
            <w:tcBorders/>
            <w:vAlign w:val="center"/>
          </w:tcPr>
          <w:p>
            <w:pPr>
              <w:pStyle w:val="MDPI42tablebody"/>
              <w:jc w:val="left"/>
            </w:pPr>
            <w:r>
              <w:rPr>
                <w:sz w:val="18"/>
                <w:szCs w:val="18"/>
              </w:rPr>
              <w:t xml:space="preserve">Effective decision temperature</w:t>
            </w:r>
          </w:p>
        </w:tc>
        <w:tc>
          <w:tcPr>
            <w:tcW w:w="2945" w:type="dxa"/>
            <w:tcBorders/>
            <w:vAlign w:val="center"/>
          </w:tcPr>
          <w:p>
            <w:pPr>
              <w:pStyle w:val="MDPI42tablebody"/>
              <w:jc w:val="left"/>
            </w:pPr>
            <w:r>
              <w:rPr>
                <w:sz w:val="18"/>
                <w:szCs w:val="18"/>
              </w:rPr>
              <w:t xml:space="preserve">Temperature at which observed choices are best explained by the clean-context reference.</w:t>
            </w:r>
          </w:p>
        </w:tc>
        <w:tc>
          <w:tcPr>
            <w:tcW w:w="2948" w:type="dxa"/>
            <w:tcBorders/>
            <w:vAlign w:val="center"/>
          </w:tcPr>
          <w:p>
            <w:pPr>
              <w:pStyle w:val="MDPI42tablebody"/>
              <w:jc w:val="left"/>
            </w:pPr>
            <w:r>
              <w:rPr>
                <w:sz w:val="18"/>
                <w:szCs w:val="18"/>
              </w:rPr>
              <w:t xml:space="preserve">Maximum-likelihood </w:t>
            </w:r>
            <w:r>
              <w:rPr>
                <w:i/>
                <w:sz w:val="18"/>
                <w:szCs w:val="18"/>
              </w:rPr>
              <w:t xml:space="preserve">T</w:t>
            </w:r>
            <w:r>
              <w:rPr>
                <w:sz w:val="18"/>
                <w:szCs w:val="18"/>
              </w:rPr>
              <w:t xml:space="preserve"> over a log grid, Equation (2); reported with a not-identified flag.</w:t>
            </w:r>
          </w:p>
        </w:tc>
      </w:tr>
      <w:tr>
        <w:trPr>
          <w:cantSplit/>
        </w:trPr>
        <w:tc>
          <w:tcPr>
            <w:tcW w:w="1965" w:type="dxa"/>
            <w:tcBorders>
              <w:bottom w:val="single" w:sz="8" w:space="0" w:color="000000"/>
            </w:tcBorders>
            <w:vAlign w:val="center"/>
          </w:tcPr>
          <w:p>
            <w:pPr>
              <w:pStyle w:val="MDPI42tablebody"/>
              <w:jc w:val="left"/>
            </w:pPr>
            <w:r>
              <w:rPr>
                <w:sz w:val="18"/>
                <w:szCs w:val="18"/>
              </w:rPr>
              <w:t xml:space="preserve">Lock-in</w:t>
            </w:r>
          </w:p>
        </w:tc>
        <w:tc>
          <w:tcPr>
            <w:tcW w:w="2945" w:type="dxa"/>
            <w:tcBorders>
              <w:bottom w:val="single" w:sz="8" w:space="0" w:color="000000"/>
            </w:tcBorders>
            <w:vAlign w:val="center"/>
          </w:tcPr>
          <w:p>
            <w:pPr>
              <w:pStyle w:val="MDPI42tablebody"/>
              <w:jc w:val="left"/>
            </w:pPr>
            <w:r>
              <w:rPr>
                <w:sz w:val="18"/>
                <w:szCs w:val="18"/>
              </w:rPr>
              <w:t xml:space="preserve">Repeated selection of the planted off-path item.</w:t>
            </w:r>
          </w:p>
        </w:tc>
        <w:tc>
          <w:tcPr>
            <w:tcW w:w="2948" w:type="dxa"/>
            <w:tcBorders>
              <w:bottom w:val="single" w:sz="8" w:space="0" w:color="000000"/>
            </w:tcBorders>
            <w:vAlign w:val="center"/>
          </w:tcPr>
          <w:p>
            <w:pPr>
              <w:pStyle w:val="MDPI42tablebody"/>
              <w:jc w:val="left"/>
            </w:pPr>
            <w:r>
              <w:rPr>
                <w:sz w:val="18"/>
                <w:szCs w:val="18"/>
              </w:rPr>
              <w:t xml:space="preserve">Share of steps choosing the planted item.</w:t>
            </w:r>
          </w:p>
        </w:tc>
      </w:tr>
    </w:tbl>
    <w:p>
      <w:pPr>
        <w:pStyle w:val="MDPI31text"/>
        <w:spacing w:before="0" w:after="0" w:line="120" w:lineRule="exact"/>
      </w:pPr>
    </w:p>
    <w:p>
      <w:pPr>
        <w:pStyle w:val="MDPI41tablecaption"/>
        <w:keepNext/>
      </w:pPr>
      <w:r>
        <w:rPr>
          <w:b/>
        </w:rPr>
        <w:t xml:space="preserve">Table 2.</w:t>
      </w:r>
      <w:r>
        <w:rPr/>
        <w:t xml:space="preserve"> Regimes of the accuracy–temperature relationship predicted by H2.</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551"/>
        <w:gridCol w:w="2068"/>
        <w:gridCol w:w="2481"/>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8"/>
                <w:szCs w:val="18"/>
              </w:rPr>
              <w:t xml:space="preserve">Regime</w:t>
            </w:r>
          </w:p>
        </w:tc>
        <w:tc>
          <w:tcPr>
            <w:tcW w:w="1551" w:type="dxa"/>
            <w:tcBorders>
              <w:top w:val="single" w:sz="8" w:space="0" w:color="000000"/>
              <w:bottom w:val="single" w:sz="4" w:space="0" w:color="000000"/>
            </w:tcBorders>
            <w:vAlign w:val="center"/>
          </w:tcPr>
          <w:p>
            <w:pPr>
              <w:pStyle w:val="MDPI42tablebody"/>
              <w:jc w:val="left"/>
            </w:pPr>
            <w:r>
              <w:rPr>
                <w:b/>
                <w:sz w:val="18"/>
                <w:szCs w:val="18"/>
              </w:rPr>
              <w:t xml:space="preserve">Starts on Path?</w:t>
            </w:r>
          </w:p>
        </w:tc>
        <w:tc>
          <w:tcPr>
            <w:tcW w:w="2068" w:type="dxa"/>
            <w:tcBorders>
              <w:top w:val="single" w:sz="8" w:space="0" w:color="000000"/>
              <w:bottom w:val="single" w:sz="4" w:space="0" w:color="000000"/>
            </w:tcBorders>
            <w:vAlign w:val="center"/>
          </w:tcPr>
          <w:p>
            <w:pPr>
              <w:pStyle w:val="MDPI42tablebody"/>
              <w:jc w:val="left"/>
            </w:pPr>
            <w:r>
              <w:rPr>
                <w:b/>
                <w:sz w:val="18"/>
                <w:szCs w:val="18"/>
              </w:rPr>
              <w:t xml:space="preserve">Attractor</w:t>
            </w:r>
          </w:p>
        </w:tc>
        <w:tc>
          <w:tcPr>
            <w:tcW w:w="2481" w:type="dxa"/>
            <w:tcBorders>
              <w:top w:val="single" w:sz="8" w:space="0" w:color="000000"/>
              <w:bottom w:val="single" w:sz="4" w:space="0" w:color="000000"/>
            </w:tcBorders>
            <w:vAlign w:val="center"/>
          </w:tcPr>
          <w:p>
            <w:pPr>
              <w:pStyle w:val="MDPI42tablebody"/>
              <w:jc w:val="left"/>
            </w:pPr>
            <w:r>
              <w:rPr>
                <w:b/>
                <w:sz w:val="18"/>
                <w:szCs w:val="18"/>
              </w:rPr>
              <w:t xml:space="preserve">Predicted Accuracy as </w:t>
            </w:r>
            <w:r>
              <w:rPr>
                <w:b/>
                <w:i/>
                <w:sz w:val="18"/>
                <w:szCs w:val="18"/>
              </w:rPr>
              <w:t xml:space="preserve">T</w:t>
            </w:r>
            <w:r>
              <w:rPr>
                <w:b/>
                <w:sz w:val="18"/>
                <w:szCs w:val="18"/>
              </w:rPr>
              <w:t xml:space="preserve"> Increases</w:t>
            </w:r>
          </w:p>
        </w:tc>
      </w:tr>
      <w:tr>
        <w:trPr>
          <w:cantSplit/>
        </w:trPr>
        <w:tc>
          <w:tcPr>
            <w:tcW w:w="1758" w:type="dxa"/>
            <w:tcBorders/>
            <w:vAlign w:val="center"/>
          </w:tcPr>
          <w:p>
            <w:pPr>
              <w:pStyle w:val="MDPI42tablebody"/>
              <w:jc w:val="left"/>
            </w:pPr>
            <w:r>
              <w:rPr>
                <w:sz w:val="18"/>
                <w:szCs w:val="18"/>
              </w:rPr>
              <w:t xml:space="preserve">No attractor</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None</w:t>
            </w:r>
          </w:p>
        </w:tc>
        <w:tc>
          <w:tcPr>
            <w:tcW w:w="2481" w:type="dxa"/>
            <w:tcBorders/>
            <w:vAlign w:val="center"/>
          </w:tcPr>
          <w:p>
            <w:pPr>
              <w:pStyle w:val="MDPI42tablebody"/>
              <w:jc w:val="left"/>
            </w:pPr>
            <w:r>
              <w:rPr>
                <w:sz w:val="18"/>
                <w:szCs w:val="18"/>
              </w:rPr>
              <w:t xml:space="preserve">Monotone decline</w:t>
            </w:r>
          </w:p>
        </w:tc>
      </w:tr>
      <w:tr>
        <w:trPr>
          <w:cantSplit/>
        </w:trPr>
        <w:tc>
          <w:tcPr>
            <w:tcW w:w="1758" w:type="dxa"/>
            <w:tcBorders/>
            <w:vAlign w:val="center"/>
          </w:tcPr>
          <w:p>
            <w:pPr>
              <w:pStyle w:val="MDPI42tablebody"/>
              <w:jc w:val="left"/>
            </w:pPr>
            <w:r>
              <w:rPr>
                <w:sz w:val="18"/>
                <w:szCs w:val="18"/>
              </w:rPr>
              <w:t xml:space="preserve">Weak</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Absorbed at low </w:t>
            </w:r>
            <w:r>
              <w:rPr>
                <w:i/>
                <w:sz w:val="18"/>
                <w:szCs w:val="18"/>
              </w:rPr>
              <w:t xml:space="preserve">T</w:t>
            </w:r>
          </w:p>
        </w:tc>
        <w:tc>
          <w:tcPr>
            <w:tcW w:w="2481" w:type="dxa"/>
            <w:tcBorders/>
            <w:vAlign w:val="center"/>
          </w:tcPr>
          <w:p>
            <w:pPr>
              <w:pStyle w:val="MDPI42tablebody"/>
              <w:jc w:val="left"/>
            </w:pPr>
            <w:r>
              <w:rPr>
                <w:sz w:val="18"/>
                <w:szCs w:val="18"/>
              </w:rPr>
              <w:t xml:space="preserve">Near-monotone decline; the error is repaired</w:t>
            </w:r>
          </w:p>
        </w:tc>
      </w:tr>
      <w:tr>
        <w:trPr>
          <w:cantSplit/>
        </w:trPr>
        <w:tc>
          <w:tcPr>
            <w:tcW w:w="1758" w:type="dxa"/>
            <w:tcBorders/>
            <w:vAlign w:val="center"/>
          </w:tcPr>
          <w:p>
            <w:pPr>
              <w:pStyle w:val="MDPI42tablebody"/>
              <w:jc w:val="left"/>
            </w:pPr>
            <w:r>
              <w:rPr>
                <w:sz w:val="18"/>
                <w:szCs w:val="18"/>
              </w:rPr>
              <w:t xml:space="preserve">Sticky and escapable</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Locks at low </w:t>
            </w:r>
            <w:r>
              <w:rPr>
                <w:i/>
                <w:sz w:val="18"/>
                <w:szCs w:val="18"/>
              </w:rPr>
              <w:t xml:space="preserve">T</w:t>
            </w:r>
            <w:r>
              <w:rPr>
                <w:sz w:val="18"/>
                <w:szCs w:val="18"/>
              </w:rPr>
              <w:t xml:space="preserve">, leaks at moderate </w:t>
            </w:r>
            <w:r>
              <w:rPr>
                <w:i/>
                <w:sz w:val="18"/>
                <w:szCs w:val="18"/>
              </w:rPr>
              <w:t xml:space="preserve">T</w:t>
            </w:r>
          </w:p>
        </w:tc>
        <w:tc>
          <w:tcPr>
            <w:tcW w:w="2481" w:type="dxa"/>
            <w:tcBorders/>
            <w:vAlign w:val="center"/>
          </w:tcPr>
          <w:p>
            <w:pPr>
              <w:pStyle w:val="MDPI42tablebody"/>
              <w:jc w:val="left"/>
            </w:pPr>
            <w:r>
              <w:rPr>
                <w:sz w:val="18"/>
                <w:szCs w:val="18"/>
              </w:rPr>
              <w:t xml:space="preserve">Inverted U</w:t>
            </w:r>
          </w:p>
        </w:tc>
      </w:tr>
      <w:tr>
        <w:trPr>
          <w:cantSplit/>
        </w:trPr>
        <w:tc>
          <w:tcPr>
            <w:tcW w:w="1758" w:type="dxa"/>
            <w:tcBorders/>
            <w:vAlign w:val="center"/>
          </w:tcPr>
          <w:p>
            <w:pPr>
              <w:pStyle w:val="MDPI42tablebody"/>
              <w:jc w:val="left"/>
            </w:pPr>
            <w:r>
              <w:rPr>
                <w:sz w:val="18"/>
                <w:szCs w:val="18"/>
              </w:rPr>
              <w:t xml:space="preserve">Too strong</w:t>
            </w:r>
          </w:p>
        </w:tc>
        <w:tc>
          <w:tcPr>
            <w:tcW w:w="1551" w:type="dxa"/>
            <w:tcBorders/>
            <w:vAlign w:val="center"/>
          </w:tcPr>
          <w:p>
            <w:pPr>
              <w:pStyle w:val="MDPI42tablebody"/>
              <w:jc w:val="left"/>
            </w:pPr>
            <w:r>
              <w:rPr>
                <w:sz w:val="18"/>
                <w:szCs w:val="18"/>
              </w:rPr>
              <w:t xml:space="preserve">Yes, then knocked off</w:t>
            </w:r>
          </w:p>
        </w:tc>
        <w:tc>
          <w:tcPr>
            <w:tcW w:w="2068" w:type="dxa"/>
            <w:tcBorders/>
            <w:vAlign w:val="center"/>
          </w:tcPr>
          <w:p>
            <w:pPr>
              <w:pStyle w:val="MDPI42tablebody"/>
              <w:jc w:val="left"/>
            </w:pPr>
            <w:r>
              <w:rPr>
                <w:sz w:val="18"/>
                <w:szCs w:val="18"/>
              </w:rPr>
              <w:t xml:space="preserve">Locks over the sampled range</w:t>
            </w:r>
          </w:p>
        </w:tc>
        <w:tc>
          <w:tcPr>
            <w:tcW w:w="2481" w:type="dxa"/>
            <w:tcBorders/>
            <w:vAlign w:val="center"/>
          </w:tcPr>
          <w:p>
            <w:pPr>
              <w:pStyle w:val="MDPI42tablebody"/>
              <w:jc w:val="left"/>
            </w:pPr>
            <w:r>
              <w:rPr>
                <w:sz w:val="18"/>
                <w:szCs w:val="18"/>
              </w:rPr>
              <w:t xml:space="preserve">Floor; no interior peak</w:t>
            </w:r>
          </w:p>
        </w:tc>
      </w:tr>
      <w:tr>
        <w:trPr>
          <w:cantSplit/>
        </w:trPr>
        <w:tc>
          <w:tcPr>
            <w:tcW w:w="1758" w:type="dxa"/>
            <w:tcBorders>
              <w:bottom w:val="single" w:sz="8" w:space="0" w:color="000000"/>
            </w:tcBorders>
            <w:vAlign w:val="center"/>
          </w:tcPr>
          <w:p>
            <w:pPr>
              <w:pStyle w:val="MDPI42tablebody"/>
              <w:jc w:val="left"/>
            </w:pPr>
            <w:r>
              <w:rPr>
                <w:sz w:val="18"/>
                <w:szCs w:val="18"/>
              </w:rPr>
              <w:t xml:space="preserve">Unsolvable task</w:t>
            </w:r>
          </w:p>
        </w:tc>
        <w:tc>
          <w:tcPr>
            <w:tcW w:w="1551" w:type="dxa"/>
            <w:tcBorders>
              <w:bottom w:val="single" w:sz="8" w:space="0" w:color="000000"/>
            </w:tcBorders>
            <w:vAlign w:val="center"/>
          </w:tcPr>
          <w:p>
            <w:pPr>
              <w:pStyle w:val="MDPI42tablebody"/>
              <w:jc w:val="left"/>
            </w:pPr>
            <w:r>
              <w:rPr>
                <w:sz w:val="18"/>
                <w:szCs w:val="18"/>
              </w:rPr>
              <w:t xml:space="preserve">No</w:t>
            </w:r>
          </w:p>
        </w:tc>
        <w:tc>
          <w:tcPr>
            <w:tcW w:w="2068" w:type="dxa"/>
            <w:tcBorders>
              <w:bottom w:val="single" w:sz="8" w:space="0" w:color="000000"/>
            </w:tcBorders>
            <w:vAlign w:val="center"/>
          </w:tcPr>
          <w:p>
            <w:pPr>
              <w:pStyle w:val="MDPI42tablebody"/>
              <w:jc w:val="left"/>
            </w:pPr>
            <w:r>
              <w:rPr>
                <w:sz w:val="18"/>
                <w:szCs w:val="18"/>
              </w:rPr>
              <w:t xml:space="preserve">Irrelevant</w:t>
            </w:r>
          </w:p>
        </w:tc>
        <w:tc>
          <w:tcPr>
            <w:tcW w:w="2481" w:type="dxa"/>
            <w:tcBorders>
              <w:bottom w:val="single" w:sz="8" w:space="0" w:color="000000"/>
            </w:tcBorders>
            <w:vAlign w:val="center"/>
          </w:tcPr>
          <w:p>
            <w:pPr>
              <w:pStyle w:val="MDPI42tablebody"/>
              <w:jc w:val="left"/>
            </w:pPr>
            <w:r>
              <w:rPr>
                <w:sz w:val="18"/>
                <w:szCs w:val="18"/>
              </w:rPr>
              <w:t xml:space="preserve">Accuracy uninformative</w:t>
            </w:r>
          </w:p>
        </w:tc>
      </w:tr>
    </w:tbl>
    <w:p>
      <w:pPr>
        <w:pStyle w:val="MDPI31text"/>
        <w:spacing w:before="0" w:after="0" w:line="120" w:lineRule="exact"/>
      </w:pPr>
    </w:p>
    <w:p>
      <w:pPr>
        <w:pStyle w:val="MDPI41tablecaption"/>
        <w:keepNext/>
      </w:pPr>
      <w:r>
        <w:rPr>
          <w:b/>
        </w:rPr>
        <w:t xml:space="preserve">Table 3.</w:t>
      </w:r>
      <w:r>
        <w:rPr/>
        <w:t xml:space="preserve"> What each indicator requires.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137"/>
        <w:gridCol w:w="1292"/>
        <w:gridCol w:w="1292"/>
        <w:gridCol w:w="2379"/>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6"/>
                <w:szCs w:val="16"/>
              </w:rPr>
              <w:t xml:space="preserve">Indicator</w:t>
            </w:r>
          </w:p>
        </w:tc>
        <w:tc>
          <w:tcPr>
            <w:tcW w:w="1137" w:type="dxa"/>
            <w:tcBorders>
              <w:top w:val="single" w:sz="8" w:space="0" w:color="000000"/>
              <w:bottom w:val="single" w:sz="4" w:space="0" w:color="000000"/>
            </w:tcBorders>
            <w:vAlign w:val="center"/>
          </w:tcPr>
          <w:p>
            <w:pPr>
              <w:pStyle w:val="MDPI42tablebody"/>
              <w:jc w:val="center"/>
            </w:pPr>
            <w:r>
              <w:rPr>
                <w:b/>
                <w:sz w:val="16"/>
                <w:szCs w:val="16"/>
              </w:rPr>
              <w:t xml:space="preserve">Ground-Truth Labels</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Several Samples per Context</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Clean-Context Reference</w:t>
            </w:r>
          </w:p>
        </w:tc>
        <w:tc>
          <w:tcPr>
            <w:tcW w:w="2379" w:type="dxa"/>
            <w:tcBorders>
              <w:top w:val="single" w:sz="8" w:space="0" w:color="000000"/>
              <w:bottom w:val="single" w:sz="4" w:space="0" w:color="000000"/>
            </w:tcBorders>
            <w:vAlign w:val="center"/>
          </w:tcPr>
          <w:p>
            <w:pPr>
              <w:pStyle w:val="MDPI42tablebody"/>
              <w:jc w:val="center"/>
            </w:pPr>
            <w:r>
              <w:rPr>
                <w:b/>
                <w:sz w:val="16"/>
                <w:szCs w:val="16"/>
              </w:rPr>
              <w:t xml:space="preserve">What It Measures</w:t>
            </w:r>
          </w:p>
        </w:tc>
      </w:tr>
      <w:tr>
        <w:trPr>
          <w:cantSplit/>
        </w:trPr>
        <w:tc>
          <w:tcPr>
            <w:tcW w:w="1758" w:type="dxa"/>
            <w:tcBorders/>
            <w:vAlign w:val="center"/>
          </w:tcPr>
          <w:p>
            <w:pPr>
              <w:pStyle w:val="MDPI42tablebody"/>
              <w:jc w:val="left"/>
            </w:pPr>
            <w:r>
              <w:rPr>
                <w:sz w:val="16"/>
                <w:szCs w:val="16"/>
              </w:rPr>
              <w:t xml:space="preserve">Token entropy</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the sampling distribution</w:t>
            </w:r>
          </w:p>
        </w:tc>
      </w:tr>
      <w:tr>
        <w:trPr>
          <w:cantSplit/>
        </w:trPr>
        <w:tc>
          <w:tcPr>
            <w:tcW w:w="1758" w:type="dxa"/>
            <w:tcBorders/>
            <w:vAlign w:val="center"/>
          </w:tcPr>
          <w:p>
            <w:pPr>
              <w:pStyle w:val="MDPI42tablebody"/>
              <w:jc w:val="left"/>
            </w:pPr>
            <w:r>
              <w:rPr>
                <w:sz w:val="16"/>
                <w:szCs w:val="16"/>
              </w:rPr>
              <w:t xml:space="preserve">Confidence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Mass on the chosen item</w:t>
            </w:r>
          </w:p>
        </w:tc>
      </w:tr>
      <w:tr>
        <w:trPr>
          <w:cantSplit/>
        </w:trPr>
        <w:tc>
          <w:tcPr>
            <w:tcW w:w="1758" w:type="dxa"/>
            <w:tcBorders/>
            <w:vAlign w:val="center"/>
          </w:tcPr>
          <w:p>
            <w:pPr>
              <w:pStyle w:val="MDPI42tablebody"/>
              <w:jc w:val="left"/>
            </w:pPr>
            <w:r>
              <w:rPr>
                <w:sz w:val="16"/>
                <w:szCs w:val="16"/>
              </w:rPr>
              <w:t xml:space="preserve">ECE</w:t>
            </w:r>
          </w:p>
        </w:tc>
        <w:tc>
          <w:tcPr>
            <w:tcW w:w="1137"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Mismatch of confidence and correctness</w:t>
            </w:r>
          </w:p>
        </w:tc>
      </w:tr>
      <w:tr>
        <w:trPr>
          <w:cantSplit/>
        </w:trPr>
        <w:tc>
          <w:tcPr>
            <w:tcW w:w="1758" w:type="dxa"/>
            <w:tcBorders/>
            <w:vAlign w:val="center"/>
          </w:tcPr>
          <w:p>
            <w:pPr>
              <w:pStyle w:val="MDPI42tablebody"/>
              <w:jc w:val="left"/>
            </w:pPr>
            <w:r>
              <w:rPr>
                <w:sz w:val="16"/>
                <w:szCs w:val="16"/>
              </w:rPr>
              <w:t xml:space="preserve">Semantic entropy (discrete)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complete completions</w:t>
            </w:r>
          </w:p>
        </w:tc>
      </w:tr>
      <w:tr>
        <w:trPr>
          <w:cantSplit/>
        </w:trPr>
        <w:tc>
          <w:tcPr>
            <w:tcW w:w="1758" w:type="dxa"/>
            <w:tcBorders>
              <w:bottom w:val="single" w:sz="8" w:space="0" w:color="000000"/>
            </w:tcBorders>
            <w:vAlign w:val="center"/>
          </w:tcPr>
          <w:p>
            <w:pPr>
              <w:pStyle w:val="MDPI42tablebody"/>
              <w:jc w:val="left"/>
            </w:pPr>
            <w:r>
              <w:rPr>
                <w:sz w:val="16"/>
                <w:szCs w:val="16"/>
              </w:rPr>
              <w:t xml:space="preserve">T</w:t>
            </w:r>
            <w:r>
              <w:rPr>
                <w:sz w:val="16"/>
                <w:szCs w:val="16"/>
                <w:vertAlign w:val="subscript"/>
              </w:rPr>
              <w:t xml:space="preserve">eff</w:t>
            </w:r>
          </w:p>
        </w:tc>
        <w:tc>
          <w:tcPr>
            <w:tcW w:w="1137"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Yes</w:t>
            </w:r>
          </w:p>
        </w:tc>
        <w:tc>
          <w:tcPr>
            <w:tcW w:w="2379" w:type="dxa"/>
            <w:tcBorders>
              <w:bottom w:val="single" w:sz="8" w:space="0" w:color="000000"/>
            </w:tcBorders>
            <w:vAlign w:val="center"/>
          </w:tcPr>
          <w:p>
            <w:pPr>
              <w:pStyle w:val="MDPI42tablebody"/>
              <w:jc w:val="center"/>
            </w:pPr>
            <w:r>
              <w:rPr>
                <w:sz w:val="16"/>
                <w:szCs w:val="16"/>
              </w:rPr>
              <w:t xml:space="preserve">Scale of choice noise relative to the reference</w:t>
            </w:r>
          </w:p>
        </w:tc>
      </w:tr>
    </w:tbl>
    <w:p>
      <w:pPr>
        <w:pStyle w:val="MDPI31text"/>
        <w:spacing w:before="0" w:after="0" w:line="120" w:lineRule="exact"/>
      </w:pPr>
    </w:p>
    <w:p>
      <w:pPr>
        <w:pStyle w:val="MDPI21heading1"/>
        <w:keepNext/>
      </w:pPr>
      <w:r>
        <w:rPr/>
        <w:t xml:space="preserve">4. Experimental Design</w:t>
      </w:r>
    </w:p>
    <w:p>
      <w:pPr>
        <w:pStyle w:val="MDPI22heading2"/>
        <w:keepNext/>
      </w:pPr>
      <w:r>
        <w:rPr/>
        <w:t xml:space="preserve">4.1. Tasks and the Planted Attractor</w:t>
      </w:r>
    </w:p>
    <w:p>
      <w:pPr>
        <w:pStyle w:val="MDPI31text"/>
      </w:pPr>
      <w:r>
        <w:rPr/>
        <w:t xml:space="preserve">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pStyle w:val="MDPI31text"/>
      </w:pPr>
      <w:r>
        <w:rPr/>
        <w:t xml:space="preserve">Each trajectory starts from a history that consists of the first two items followed by </w:t>
      </w:r>
      <w:r>
        <w:rPr>
          <w:i/>
        </w:rPr>
        <w:t xml:space="preserve">m</w:t>
      </w:r>
      <w:r>
        <w:rPr/>
        <w:t xml:space="preserve"> additional copies of the second item. With </w:t>
      </w:r>
      <w:r>
        <w:rPr>
          <w:i/>
        </w:rPr>
        <w:t xml:space="preserve">m</w:t>
      </w:r>
      <w:r>
        <w:rPr/>
        <w:t xml:space="preserve"> = 0 the history is correct, and with </w:t>
      </w:r>
      <w:r>
        <w:rPr>
          <w:i/>
        </w:rPr>
        <w:t xml:space="preserve">m</w:t>
      </w:r>
      <w:r>
        <w:rPr/>
        <w:t xml:space="preserve"> &gt; 0 it contains a run of </w:t>
      </w:r>
      <w:r>
        <w:rPr>
          <w:i/>
        </w:rPr>
        <w:t xml:space="preserve">m</w:t>
      </w:r>
      <w:r>
        <w:rPr/>
        <w:t xml:space="preserve">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pStyle w:val="MDPI31text"/>
      </w:pPr>
      <w:r>
        <w:rPr/>
        <w:t xml:space="preserve">Strength is calibrated separately for each model and task by probing the next-item distribution. For </w:t>
      </w:r>
      <w:r>
        <w:rPr>
          <w:i/>
        </w:rPr>
        <w:t xml:space="preserve">m</w:t>
      </w:r>
      <w:r>
        <w:rPr/>
        <w:t xml:space="preserve"> in {1, 2, 3, 4, 6, 8, 12, 16, 24, 32, 48, 64} we compute the probability of the correct next item under the clean prompt at </w:t>
      </w:r>
      <w:r>
        <w:rPr>
          <w:i/>
        </w:rPr>
        <w:t xml:space="preserve">T</w:t>
      </w:r>
      <w:r>
        <w:rPr/>
        <w:t xml:space="preserve"> = 0.15. We call </w:t>
      </w:r>
      <w:r>
        <w:rPr>
          <w:i/>
        </w:rPr>
        <w:t xml:space="preserve">m</w:t>
      </w:r>
      <w:r>
        <w:rPr/>
        <w:t xml:space="preserve">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r>
        <w:rPr/>
        <w:t xml:space="preserve"> In the revision study the regimes are therefore also examined without any selection, over the full grid of </w:t>
      </w:r>
      <w:r>
        <w:rPr>
          <w:i/>
        </w:rPr>
        <w:t>m</w:t>
      </w:r>
      <w:r>
        <w:rPr/>
        <w:t xml:space="preserve"> values, and with strengths selected on a different wording of the task instruction (Section 5.11).</w:t>
      </w:r>
    </w:p>
    <w:p>
      <w:pPr>
        <w:pStyle w:val="MDPI22heading2"/>
        <w:keepNext/>
      </w:pPr>
      <w:r>
        <w:rPr/>
        <w:t xml:space="preserve">4.2. Distortion Prompts</w:t>
      </w:r>
    </w:p>
    <w:p>
      <w:pPr>
        <w:pStyle w:val="MDPI31text"/>
      </w:pPr>
      <w:r>
        <w:rPr/>
        <w:t xml:space="preserve">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w:t>
      </w:r>
      <w:r>
        <w:rPr>
          <w:i/>
        </w:rPr>
        <w:t xml:space="preserve">v</w:t>
      </w:r>
      <w:r>
        <w:rPr>
          <w:i/>
          <w:vertAlign w:val="subscript"/>
        </w:rPr>
        <w:t xml:space="preserve">t</w:t>
      </w:r>
      <w:r>
        <w:rPr/>
        <w:t xml:space="preserve"> are always computed with the clean prompt on the same history, so T</w:t>
      </w:r>
      <w:r>
        <w:rPr>
          <w:vertAlign w:val="subscript"/>
        </w:rPr>
        <w:t xml:space="preserve">eff</w:t>
      </w:r>
      <w:r>
        <w:rPr/>
        <w:t xml:space="preserve"> measures how much the added text changes the model's choices, relative to the text-free task. The exact wording is given in Appendix A.</w:t>
      </w:r>
    </w:p>
    <w:p>
      <w:pPr>
        <w:pStyle w:val="MDPI22heading2"/>
        <w:keepNext/>
      </w:pPr>
      <w:r>
        <w:rPr/>
        <w:t xml:space="preserve">4.3. Models and Inference</w:t>
      </w:r>
    </w:p>
    <w:p>
      <w:pPr>
        <w:pStyle w:val="MDPI31text"/>
      </w:pPr>
      <w:r>
        <w:rPr/>
        <w:t xml:space="preserve">We use Qwen2.5-3B-Instruct and Llama-3.2-3B-Instruct in all experiments, Qwen2.5-7B-Instruct [14] on the alphabet task only, and SmolLM2-135M-Instruct [15] in the earliest experiments. The Llama model is described in [16]. The 3B models were run in bfloat16 with the Transformers library [17]. The 7B model does not fit in bfloat16 in the 15 GB of memory available, so it was run as an 8-bit quantized GGUF file (Q8_0) in llama.cpp [18]. All runs used CPU only, with four cores. The default chat template of each model was applied. Because the 7B model differs from the 3B models in inference stack and numerical precision as well as in size, differences between them should not be attributed to size alone. Generative AI (Claude, Anthropic) was used to write and run the experimental code and to analyse the results; details are given in the Acknowledgments.</w:t>
      </w:r>
    </w:p>
    <w:p>
      <w:pPr>
        <w:pStyle w:val="MDPI22heading2"/>
        <w:keepNext/>
      </w:pPr>
      <w:r>
        <w:rPr/>
        <w:t xml:space="preserve">4.4. Measures</w:t>
      </w:r>
    </w:p>
    <w:p>
      <w:pPr>
        <w:pStyle w:val="MDPI31text"/>
      </w:pPr>
      <w:r>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T</w:t>
      </w:r>
      <w:r>
        <w:rPr>
          <w:vertAlign w:val="subscript"/>
        </w:rPr>
        <w:t xml:space="preserve">eff</w:t>
      </w:r>
      <w:r>
        <w:rPr/>
        <w:t xml:space="preserve"> we compute the four comparison indicators defined in Section 3.5. T</w:t>
      </w:r>
      <w:r>
        <w:rPr>
          <w:vertAlign w:val="subscript"/>
        </w:rPr>
        <w:t xml:space="preserve">eff</w:t>
      </w:r>
      <w:r>
        <w:rPr/>
        <w:t xml:space="preserve"> is estimated by grid search over 240 log-spaced temperatures between 0.02 and 20, pooling all steps in a cell. A cell is flagged as not identified if the mean reference probability of the chosen items, computed at the nominal temperature, </w:t>
      </w:r>
      <w:r>
        <w:rPr/>
        <w:t>exceeds 0.999. This threshold is a convention. Section 3.3 adds an interval-based rule, and Section 5.10 reports the sensitivity to both.</w:t>
      </w:r>
    </w:p>
    <w:p>
      <w:pPr>
        <w:pStyle w:val="MDPI22heading2"/>
        <w:keepNext/>
      </w:pPr>
      <w:r>
        <w:rPr/>
        <w:t xml:space="preserve">4.5. Experimental Programme</w:t>
      </w:r>
    </w:p>
    <w:p>
      <w:pPr>
        <w:pStyle w:val="MDPI31text"/>
      </w:pPr>
      <w:r>
        <w:rPr/>
        <w:t xml:space="preserve">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w:t>
      </w:r>
      <w:r>
        <w:rPr>
          <w:i/>
        </w:rPr>
        <w:t xml:space="preserve">m</w:t>
      </w:r>
      <w:r>
        <w:rPr/>
        <w:t xml:space="preserve"> = 0) at </w:t>
      </w:r>
      <w:r>
        <w:rPr>
          <w:i/>
        </w:rPr>
        <w:t xml:space="preserve">T</w:t>
      </w:r>
      <w:r>
        <w:rPr/>
        <w:t xml:space="preserve"> = 0.15 and </w:t>
      </w:r>
      <w:r>
        <w:rPr>
          <w:i/>
        </w:rPr>
        <w:t xml:space="preserve">T</w:t>
      </w:r>
      <w:r>
        <w:rPr/>
        <w:t xml:space="preserve"> = 2.0. The distortion conditions are run at the sticky attractor at </w:t>
      </w:r>
      <w:r>
        <w:rPr>
          <w:i/>
        </w:rPr>
        <w:t xml:space="preserve">T</w:t>
      </w:r>
      <w:r>
        <w:rPr/>
        <w:t xml:space="preserve"> = 0.8 and </w:t>
      </w:r>
      <w:r>
        <w:rPr>
          <w:i/>
        </w:rPr>
        <w:t xml:space="preserve">T</w:t>
      </w:r>
      <w:r>
        <w:rPr/>
        <w:t xml:space="preserve"> = 2.0, each against a matched clean cell. Random streams are seeded deterministically from the cell definition.</w:t>
      </w:r>
    </w:p>
    <w:p>
      <w:pPr>
        <w:pStyle w:val="MDPI22heading2"/>
        <w:keepNext/>
      </w:pPr>
      <w:r>
        <w:rPr/>
        <w:t xml:space="preserve">4.6. Statistical Treatment</w:t>
      </w:r>
    </w:p>
    <w:p>
      <w:pPr>
        <w:pStyle w:val="MDPI31text"/>
      </w:pPr>
      <w:r>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T</w:t>
      </w:r>
      <w:r>
        <w:rPr>
          <w:vertAlign w:val="subscript"/>
        </w:rPr>
        <w:t xml:space="preserve">eff</w:t>
      </w:r>
      <w:r>
        <w:rPr/>
        <w:t xml:space="preserve"> and </w:t>
      </w:r>
      <w:r>
        <w:rPr>
          <w:i/>
        </w:rPr>
        <w:t xml:space="preserve">T</w:t>
      </w:r>
      <w:r>
        <w:rPr/>
        <w:t xml:space="preserve">).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5.6. With three models, four tasks and several conditions, we treat all comparisons as descriptive.</w:t>
      </w:r>
    </w:p>
    <w:p>
      <w:pPr>
        <w:pStyle w:val="MDPI22heading2"/>
      </w:pPr>
      <w:r>
        <w:rPr/>
        <w:t>4.7. Revision Study</w:t>
      </w:r>
    </w:p>
    <w:p>
      <w:pPr>
        <w:pStyle w:val="MDPI31text"/>
      </w:pPr>
      <w:r>
        <w:rPr/>
        <w:t xml:space="preserve">The revision study repeats the matched-cell design on four further models run on one stack. Qwen2.5-0.5B-Instruct, Qwen2.5-1.5B-Instruct, Llama-3.2-1B-Instruct (an ungated mirror of the official weights) and SmolLM2-1.7B-Instruct were run in 32-bit floating point with the Transformers library on a four-core CPU, so that, unlike Qwen2.5-7B in Section 4.3, they differ from each other only in the model. For every model and task the sticky attractor is chosen by the probe rule of Section 4.1, and the cells are the same eight (task by </w:t>
      </w:r>
      <w:r>
        <w:rPr>
          <w:i/>
        </w:rPr>
        <w:t>T</w:t>
      </w:r>
      <w:r>
        <w:rPr/>
        <w:t xml:space="preserve"> in {0.8, 2.0}), with 40 trajectories each. Each distortion has three wordings. Pressure is P0 (the original), P1 and P2. Contamination is C0 (the original), C1 (a differently worded negative-sentiment text) and C2, a dominant-response contamination that states that the planted item was the accepted answer in earlier sessions. Combined conditions cross them (P0+C0, P0+C2, P1+C1, P1+C2, P2+C2); SmolLM2-1.7B was run with the original wordings only. The exact texts are in Appendix D. Three further elements are new. First, the references of Section 3.3 (same history, gold-repaired, de-duplicated) are computed for every step, together with the reference log-likelihood (mean negative log-probability of the chosen item under the reference at the nominal temperature) and the divergence KL(sampling ‖ reference) at the nominal temperature. Second, a full-vocabulary free-generation task: the planted history is the prefix of the assistant turn, 20 completions of up to 24 tokens are sampled from the complete softmax without truncation, the reference is the clean-context full-vocabulary distribution on the same tokens, and semantic entropy is computed after clustering the completions with the DeBERTa-large MNLI entailment model [20,21] in both directions given the task instruction, as in Farquhar et al. [5] (Qwen2.5-1.5B and Llama-3.2-1B, alphabet and months). Third, wall-clock times of the main and reference passes and of the entailment calls are recorded. The detection rule of Section 4.6 is applied unchanged, with margins of 0.10 nats for the reference log-likelihood and the divergence and 0.50 for </w:t>
      </w:r>
      <w:r>
        <w:rPr>
          <w:i/>
        </w:rPr>
        <w:t>T</w:t>
      </w:r>
      <w:r>
        <w:rPr/>
        <w:t>eff</w:t>
      </w:r>
      <w:r>
        <w:rPr>
          <w:vertAlign w:val="superscript"/>
        </w:rPr>
        <w:t>dist</w:t>
      </w:r>
      <w:r>
        <w:rPr/>
        <w:t>. The 3B models and Qwen2.5-7B of the main text were not re-run.</w:t>
      </w:r>
    </w:p>
    <w:p>
      <w:pPr>
        <w:pStyle w:val="MDPI21heading1"/>
        <w:keepNext/>
      </w:pPr>
      <w:r>
        <w:rPr/>
        <w:t xml:space="preserve">5. Results</w:t>
      </w:r>
    </w:p>
    <w:p>
      <w:pPr>
        <w:pStyle w:val="MDPI22heading2"/>
        <w:keepNext/>
      </w:pPr>
      <w:r>
        <w:rPr/>
        <w:t xml:space="preserve">5.1. Stage A: Synthetic Agent</w:t>
      </w:r>
    </w:p>
    <w:p>
      <w:pPr>
        <w:pStyle w:val="MDPI31text"/>
      </w:pPr>
      <w:r>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T</w:t>
      </w:r>
      <w:r>
        <w:rPr>
          <w:vertAlign w:val="subscript"/>
        </w:rPr>
        <w:t xml:space="preserve">eff</w:t>
      </w:r>
      <w:r>
        <w:rPr/>
        <w:t xml:space="preserve"> uses the uncontaminated utilities as its reference. Table 4 shows that T</w:t>
      </w:r>
      <w:r>
        <w:rPr>
          <w:vertAlign w:val="subscript"/>
        </w:rPr>
        <w:t xml:space="preserve">eff</w:t>
      </w:r>
      <w:r>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w:t>
      </w:r>
      <w:r>
        <w:rPr>
          <w:i/>
        </w:rPr>
        <w:t xml:space="preserve">T</w:t>
      </w:r>
      <w:r>
        <w:rPr/>
        <w:t xml:space="preserve"> = 0.15, rises to 0.37 at </w:t>
      </w:r>
      <w:r>
        <w:rPr>
          <w:i/>
        </w:rPr>
        <w:t xml:space="preserve">T</w:t>
      </w:r>
      <w:r>
        <w:rPr/>
        <w:t xml:space="preserve"> = 0.67 and falls toward chance at high temperatures. This is the sticky-and-escapable regime of Table 2, and it appears because the attractor was specified to be sticky at low temperature and leaky at moderate temperature.</w:t>
      </w:r>
    </w:p>
    <w:p>
      <w:pPr>
        <w:pStyle w:val="MDPI41tablecaption"/>
        <w:keepNext/>
      </w:pPr>
      <w:r>
        <w:rPr>
          <w:b/>
        </w:rPr>
        <w:t xml:space="preserve">Table 4.</w:t>
      </w:r>
      <w:r>
        <w:rPr/>
        <w:t xml:space="preserve"> Synthetic agent at nominal </w:t>
      </w:r>
      <w:r>
        <w:rPr>
          <w:i/>
        </w:rPr>
        <w:t xml:space="preserve">T</w:t>
      </w:r>
      <w:r>
        <w:rPr/>
        <w:t xml:space="preserve"> = 0.93 (50 replications per cell).</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479"/>
        <w:gridCol w:w="1654"/>
        <w:gridCol w:w="1241"/>
        <w:gridCol w:w="1241"/>
        <w:gridCol w:w="1243"/>
      </w:tblGrid>
      <w:tr>
        <w:trPr>
          <w:cantSplit/>
          <w:tblHeader/>
        </w:trPr>
        <w:tc>
          <w:tcPr>
            <w:tcW w:w="247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654" w:type="dxa"/>
            <w:tcBorders>
              <w:top w:val="single" w:sz="8" w:space="0" w:color="000000"/>
              <w:bottom w:val="single" w:sz="4" w:space="0" w:color="000000"/>
            </w:tcBorders>
            <w:vAlign w:val="center"/>
          </w:tcPr>
          <w:p>
            <w:pPr>
              <w:pStyle w:val="MDPI42tablebody"/>
              <w:jc w:val="center"/>
            </w:pPr>
            <w:r>
              <w:rPr>
                <w:b/>
                <w:sz w:val="18"/>
                <w:szCs w:val="18"/>
              </w:rPr>
              <w:t xml:space="preserve">P(instability)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24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r>
      <w:tr>
        <w:trPr>
          <w:cantSplit/>
        </w:trPr>
        <w:tc>
          <w:tcPr>
            <w:tcW w:w="2479" w:type="dxa"/>
            <w:tcBorders/>
            <w:vAlign w:val="center"/>
          </w:tcPr>
          <w:p>
            <w:pPr>
              <w:pStyle w:val="MDPI42tablebody"/>
              <w:jc w:val="left"/>
            </w:pPr>
            <w:r>
              <w:rPr>
                <w:sz w:val="18"/>
                <w:szCs w:val="18"/>
              </w:rPr>
              <w:t xml:space="preserve">Neutral, clean</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0.97</w:t>
            </w:r>
          </w:p>
        </w:tc>
        <w:tc>
          <w:tcPr>
            <w:tcW w:w="1241" w:type="dxa"/>
            <w:tcBorders/>
            <w:vAlign w:val="center"/>
          </w:tcPr>
          <w:p>
            <w:pPr>
              <w:pStyle w:val="MDPI42tablebody"/>
              <w:jc w:val="center"/>
            </w:pPr>
            <w:r>
              <w:rPr>
                <w:sz w:val="18"/>
                <w:szCs w:val="18"/>
              </w:rPr>
              <w:t xml:space="preserve">0.89</w:t>
            </w:r>
          </w:p>
        </w:tc>
        <w:tc>
          <w:tcPr>
            <w:tcW w:w="1243" w:type="dxa"/>
            <w:tcBorders/>
            <w:vAlign w:val="center"/>
          </w:tcPr>
          <w:p>
            <w:pPr>
              <w:pStyle w:val="MDPI42tablebody"/>
              <w:jc w:val="center"/>
            </w:pPr>
            <w:r>
              <w:rPr>
                <w:sz w:val="18"/>
                <w:szCs w:val="18"/>
              </w:rPr>
              <w:t xml:space="preserve">0.91</w:t>
            </w:r>
          </w:p>
        </w:tc>
      </w:tr>
      <w:tr>
        <w:trPr>
          <w:cantSplit/>
        </w:trPr>
        <w:tc>
          <w:tcPr>
            <w:tcW w:w="2479" w:type="dxa"/>
            <w:tcBorders/>
            <w:vAlign w:val="center"/>
          </w:tcPr>
          <w:p>
            <w:pPr>
              <w:pStyle w:val="MDPI42tablebody"/>
              <w:jc w:val="left"/>
            </w:pPr>
            <w:r>
              <w:rPr>
                <w:sz w:val="18"/>
                <w:szCs w:val="18"/>
              </w:rPr>
              <w:t xml:space="preserve">Neutral, contaminated</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0.90</w:t>
            </w:r>
          </w:p>
        </w:tc>
        <w:tc>
          <w:tcPr>
            <w:tcW w:w="1241" w:type="dxa"/>
            <w:tcBorders/>
            <w:vAlign w:val="center"/>
          </w:tcPr>
          <w:p>
            <w:pPr>
              <w:pStyle w:val="MDPI42tablebody"/>
              <w:jc w:val="center"/>
            </w:pPr>
            <w:r>
              <w:rPr>
                <w:sz w:val="18"/>
                <w:szCs w:val="18"/>
              </w:rPr>
              <w:t xml:space="preserve">1.14</w:t>
            </w:r>
          </w:p>
        </w:tc>
        <w:tc>
          <w:tcPr>
            <w:tcW w:w="1243" w:type="dxa"/>
            <w:tcBorders/>
            <w:vAlign w:val="center"/>
          </w:tcPr>
          <w:p>
            <w:pPr>
              <w:pStyle w:val="MDPI42tablebody"/>
              <w:jc w:val="center"/>
            </w:pPr>
            <w:r>
              <w:rPr>
                <w:sz w:val="18"/>
                <w:szCs w:val="18"/>
              </w:rPr>
              <w:t xml:space="preserve">1.06</w:t>
            </w:r>
          </w:p>
        </w:tc>
      </w:tr>
      <w:tr>
        <w:trPr>
          <w:cantSplit/>
        </w:trPr>
        <w:tc>
          <w:tcPr>
            <w:tcW w:w="2479" w:type="dxa"/>
            <w:tcBorders/>
            <w:vAlign w:val="center"/>
          </w:tcPr>
          <w:p>
            <w:pPr>
              <w:pStyle w:val="MDPI42tablebody"/>
              <w:jc w:val="left"/>
            </w:pPr>
            <w:r>
              <w:rPr>
                <w:sz w:val="18"/>
                <w:szCs w:val="18"/>
              </w:rPr>
              <w:t xml:space="preserve">Pressure, clean</w:t>
            </w:r>
          </w:p>
        </w:tc>
        <w:tc>
          <w:tcPr>
            <w:tcW w:w="1654" w:type="dxa"/>
            <w:tcBorders/>
            <w:vAlign w:val="center"/>
          </w:tcPr>
          <w:p>
            <w:pPr>
              <w:pStyle w:val="MDPI42tablebody"/>
              <w:jc w:val="center"/>
            </w:pPr>
            <w:r>
              <w:rPr>
                <w:sz w:val="18"/>
                <w:szCs w:val="18"/>
              </w:rPr>
              <w:t xml:space="preserve">0.38</w:t>
            </w:r>
          </w:p>
        </w:tc>
        <w:tc>
          <w:tcPr>
            <w:tcW w:w="1241" w:type="dxa"/>
            <w:tcBorders/>
            <w:vAlign w:val="center"/>
          </w:tcPr>
          <w:p>
            <w:pPr>
              <w:pStyle w:val="MDPI42tablebody"/>
              <w:jc w:val="center"/>
            </w:pPr>
            <w:r>
              <w:rPr>
                <w:sz w:val="18"/>
                <w:szCs w:val="18"/>
              </w:rPr>
              <w:t xml:space="preserve">0.48</w:t>
            </w:r>
          </w:p>
        </w:tc>
        <w:tc>
          <w:tcPr>
            <w:tcW w:w="1241" w:type="dxa"/>
            <w:tcBorders/>
            <w:vAlign w:val="center"/>
          </w:tcPr>
          <w:p>
            <w:pPr>
              <w:pStyle w:val="MDPI42tablebody"/>
              <w:jc w:val="center"/>
            </w:pPr>
            <w:r>
              <w:rPr>
                <w:sz w:val="18"/>
                <w:szCs w:val="18"/>
              </w:rPr>
              <w:t xml:space="preserve">1.48</w:t>
            </w:r>
          </w:p>
        </w:tc>
        <w:tc>
          <w:tcPr>
            <w:tcW w:w="1243" w:type="dxa"/>
            <w:tcBorders/>
            <w:vAlign w:val="center"/>
          </w:tcPr>
          <w:p>
            <w:pPr>
              <w:pStyle w:val="MDPI42tablebody"/>
              <w:jc w:val="center"/>
            </w:pPr>
            <w:r>
              <w:rPr>
                <w:sz w:val="18"/>
                <w:szCs w:val="18"/>
              </w:rPr>
              <w:t xml:space="preserve">2.49</w:t>
            </w:r>
          </w:p>
        </w:tc>
      </w:tr>
      <w:tr>
        <w:trPr>
          <w:cantSplit/>
        </w:trPr>
        <w:tc>
          <w:tcPr>
            <w:tcW w:w="2479" w:type="dxa"/>
            <w:tcBorders>
              <w:bottom w:val="single" w:sz="8" w:space="0" w:color="000000"/>
            </w:tcBorders>
            <w:vAlign w:val="center"/>
          </w:tcPr>
          <w:p>
            <w:pPr>
              <w:pStyle w:val="MDPI42tablebody"/>
              <w:jc w:val="left"/>
            </w:pPr>
            <w:r>
              <w:rPr>
                <w:sz w:val="18"/>
                <w:szCs w:val="18"/>
              </w:rPr>
              <w:t xml:space="preserve">Pressure, contaminated</w:t>
            </w:r>
          </w:p>
        </w:tc>
        <w:tc>
          <w:tcPr>
            <w:tcW w:w="1654" w:type="dxa"/>
            <w:tcBorders>
              <w:bottom w:val="single" w:sz="8" w:space="0" w:color="000000"/>
            </w:tcBorders>
            <w:vAlign w:val="center"/>
          </w:tcPr>
          <w:p>
            <w:pPr>
              <w:pStyle w:val="MDPI42tablebody"/>
              <w:jc w:val="center"/>
            </w:pPr>
            <w:r>
              <w:rPr>
                <w:sz w:val="18"/>
                <w:szCs w:val="18"/>
              </w:rPr>
              <w:t xml:space="preserve">0.58</w:t>
            </w:r>
          </w:p>
        </w:tc>
        <w:tc>
          <w:tcPr>
            <w:tcW w:w="1241" w:type="dxa"/>
            <w:tcBorders>
              <w:bottom w:val="single" w:sz="8" w:space="0" w:color="000000"/>
            </w:tcBorders>
            <w:vAlign w:val="center"/>
          </w:tcPr>
          <w:p>
            <w:pPr>
              <w:pStyle w:val="MDPI42tablebody"/>
              <w:jc w:val="center"/>
            </w:pPr>
            <w:r>
              <w:rPr>
                <w:sz w:val="18"/>
                <w:szCs w:val="18"/>
              </w:rPr>
              <w:t xml:space="preserve">0.38</w:t>
            </w:r>
          </w:p>
        </w:tc>
        <w:tc>
          <w:tcPr>
            <w:tcW w:w="1241" w:type="dxa"/>
            <w:tcBorders>
              <w:bottom w:val="single" w:sz="8" w:space="0" w:color="000000"/>
            </w:tcBorders>
            <w:vAlign w:val="center"/>
          </w:tcPr>
          <w:p>
            <w:pPr>
              <w:pStyle w:val="MDPI42tablebody"/>
              <w:jc w:val="center"/>
            </w:pPr>
            <w:r>
              <w:rPr>
                <w:sz w:val="18"/>
                <w:szCs w:val="18"/>
              </w:rPr>
              <w:t xml:space="preserve">1.61</w:t>
            </w:r>
          </w:p>
        </w:tc>
        <w:tc>
          <w:tcPr>
            <w:tcW w:w="1243" w:type="dxa"/>
            <w:tcBorders>
              <w:bottom w:val="single" w:sz="8" w:space="0" w:color="000000"/>
            </w:tcBorders>
            <w:vAlign w:val="center"/>
          </w:tcPr>
          <w:p>
            <w:pPr>
              <w:pStyle w:val="MDPI42tablebody"/>
              <w:jc w:val="center"/>
            </w:pPr>
            <w:r>
              <w:rPr>
                <w:sz w:val="18"/>
                <w:szCs w:val="18"/>
              </w:rPr>
              <w:t xml:space="preserve">3.37</w:t>
            </w:r>
          </w:p>
        </w:tc>
      </w:tr>
    </w:tbl>
    <w:p>
      <w:pPr>
        <w:pStyle w:val="MDPI31text"/>
        <w:spacing w:before="0" w:after="0" w:line="120" w:lineRule="exact"/>
      </w:pPr>
    </w:p>
    <w:p>
      <w:pPr>
        <w:pStyle w:val="MDPI22heading2"/>
        <w:keepNext/>
      </w:pPr>
      <w:r>
        <w:rPr/>
        <w:t xml:space="preserve">5.2. Stage B: A 135M-Parameter Model</w:t>
      </w:r>
    </w:p>
    <w:p>
      <w:pPr>
        <w:pStyle w:val="MDPI31text"/>
      </w:pPr>
      <w:r>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T</w:t>
      </w:r>
      <w:r>
        <w:rPr>
          <w:vertAlign w:val="subscript"/>
        </w:rPr>
        <w:t xml:space="preserve">eff</w:t>
      </w:r>
      <w:r>
        <w:rPr/>
        <w:t xml:space="preserve"> nevertheless rose above the nominal temperature under joint pressure and contamination (0.59 against </w:t>
      </w:r>
      <w:r>
        <w:rPr>
          <w:i/>
        </w:rPr>
        <w:t xml:space="preserve">T</w:t>
      </w:r>
      <w:r>
        <w:rPr/>
        <w:t xml:space="preserve"> = 0.3 and 2.82 against </w:t>
      </w:r>
      <w:r>
        <w:rPr>
          <w:i/>
        </w:rPr>
        <w:t xml:space="preserve">T</w:t>
      </w:r>
      <w:r>
        <w:rPr/>
        <w:t xml:space="preserve">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T</w:t>
      </w:r>
      <w:r>
        <w:rPr>
          <w:vertAlign w:val="subscript"/>
        </w:rPr>
        <w:t xml:space="preserve">eff</w:t>
      </w:r>
      <w:r>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T</w:t>
      </w:r>
      <w:r>
        <w:rPr>
          <w:vertAlign w:val="subscript"/>
        </w:rPr>
        <w:t xml:space="preserve">eff</w:t>
      </w:r>
      <w:r>
        <w:rPr/>
        <w:t xml:space="preserve"> − </w:t>
      </w:r>
      <w:r>
        <w:rPr>
          <w:i/>
        </w:rPr>
        <w:t xml:space="preserve">T</w:t>
      </w:r>
      <w:r>
        <w:rPr/>
        <w:t xml:space="preserve"> = +3.82 at </w:t>
      </w:r>
      <w:r>
        <w:rPr>
          <w:i/>
        </w:rPr>
        <w:t xml:space="preserve">T</w:t>
      </w:r>
      <w:r>
        <w:rPr/>
        <w:t xml:space="preserve"> = 0.15), and moderate temperatures did not recover. Neither experiment showed an interior peak.</w:t>
      </w:r>
    </w:p>
    <w:p>
      <w:pPr>
        <w:pStyle w:val="MDPI41tablecaption"/>
        <w:keepNext/>
      </w:pPr>
      <w:r>
        <w:rPr>
          <w:b/>
        </w:rPr>
        <w:t xml:space="preserve">Table 5.</w:t>
      </w:r>
      <w:r>
        <w:rPr/>
        <w:t xml:space="preserve"> SmolLM2-135M-Instruct, sequence continuation with feedback at </w:t>
      </w:r>
      <w:r>
        <w:rPr>
          <w:i/>
        </w:rPr>
        <w:t xml:space="preserve">T</w:t>
      </w:r>
      <w:r>
        <w:rPr/>
        <w:t xml:space="preserve"> = 0.15.</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169"/>
        <w:gridCol w:w="1137"/>
        <w:gridCol w:w="1137"/>
        <w:gridCol w:w="1137"/>
        <w:gridCol w:w="1137"/>
        <w:gridCol w:w="1141"/>
      </w:tblGrid>
      <w:tr>
        <w:trPr>
          <w:cantSplit/>
          <w:tblHeader/>
        </w:trPr>
        <w:tc>
          <w:tcPr>
            <w:tcW w:w="216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Lock-in to A</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Repetition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c>
          <w:tcPr>
            <w:tcW w:w="1141"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2169" w:type="dxa"/>
            <w:tcBorders/>
            <w:vAlign w:val="center"/>
          </w:tcPr>
          <w:p>
            <w:pPr>
              <w:pStyle w:val="MDPI42tablebody"/>
              <w:jc w:val="left"/>
            </w:pPr>
            <w:r>
              <w:rPr>
                <w:sz w:val="18"/>
                <w:szCs w:val="18"/>
              </w:rPr>
              <w:t xml:space="preserve">Neutral, clean</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0.05 (n.i.)</w:t>
            </w:r>
          </w:p>
        </w:tc>
        <w:tc>
          <w:tcPr>
            <w:tcW w:w="1141" w:type="dxa"/>
            <w:tcBorders/>
            <w:vAlign w:val="center"/>
          </w:tcPr>
          <w:p>
            <w:pPr>
              <w:pStyle w:val="MDPI42tablebody"/>
              <w:jc w:val="center"/>
            </w:pPr>
            <w:r>
              <w:rPr>
                <w:sz w:val="18"/>
                <w:szCs w:val="18"/>
              </w:rPr>
              <w:t xml:space="preserve">n.i.</w:t>
            </w:r>
          </w:p>
        </w:tc>
      </w:tr>
      <w:tr>
        <w:trPr>
          <w:cantSplit/>
        </w:trPr>
        <w:tc>
          <w:tcPr>
            <w:tcW w:w="2169" w:type="dxa"/>
            <w:tcBorders/>
            <w:vAlign w:val="center"/>
          </w:tcPr>
          <w:p>
            <w:pPr>
              <w:pStyle w:val="MDPI42tablebody"/>
              <w:jc w:val="left"/>
            </w:pPr>
            <w:r>
              <w:rPr>
                <w:sz w:val="18"/>
                <w:szCs w:val="18"/>
              </w:rPr>
              <w:t xml:space="preserve">Pressure, clean</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3.02</w:t>
            </w:r>
          </w:p>
        </w:tc>
        <w:tc>
          <w:tcPr>
            <w:tcW w:w="1141" w:type="dxa"/>
            <w:tcBorders/>
            <w:vAlign w:val="center"/>
          </w:tcPr>
          <w:p>
            <w:pPr>
              <w:pStyle w:val="MDPI42tablebody"/>
              <w:jc w:val="center"/>
            </w:pPr>
            <w:r>
              <w:rPr>
                <w:sz w:val="18"/>
                <w:szCs w:val="18"/>
              </w:rPr>
              <w:t xml:space="preserve">+2.87</w:t>
            </w:r>
          </w:p>
        </w:tc>
      </w:tr>
      <w:tr>
        <w:trPr>
          <w:cantSplit/>
        </w:trPr>
        <w:tc>
          <w:tcPr>
            <w:tcW w:w="2169" w:type="dxa"/>
            <w:tcBorders>
              <w:bottom w:val="single" w:sz="8" w:space="0" w:color="000000"/>
            </w:tcBorders>
            <w:vAlign w:val="center"/>
          </w:tcPr>
          <w:p>
            <w:pPr>
              <w:pStyle w:val="MDPI42tablebody"/>
              <w:jc w:val="left"/>
            </w:pPr>
            <w:r>
              <w:rPr>
                <w:sz w:val="18"/>
                <w:szCs w:val="18"/>
              </w:rPr>
              <w:t xml:space="preserve">Pressure, contaminated</w:t>
            </w:r>
          </w:p>
        </w:tc>
        <w:tc>
          <w:tcPr>
            <w:tcW w:w="1137" w:type="dxa"/>
            <w:tcBorders>
              <w:bottom w:val="single" w:sz="8" w:space="0" w:color="000000"/>
            </w:tcBorders>
            <w:vAlign w:val="center"/>
          </w:tcPr>
          <w:p>
            <w:pPr>
              <w:pStyle w:val="MDPI42tablebody"/>
              <w:jc w:val="center"/>
            </w:pPr>
            <w:r>
              <w:rPr>
                <w:sz w:val="18"/>
                <w:szCs w:val="18"/>
              </w:rPr>
              <w:t xml:space="preserve">0.20</w:t>
            </w:r>
          </w:p>
        </w:tc>
        <w:tc>
          <w:tcPr>
            <w:tcW w:w="1137" w:type="dxa"/>
            <w:tcBorders>
              <w:bottom w:val="single" w:sz="8" w:space="0" w:color="000000"/>
            </w:tcBorders>
            <w:vAlign w:val="center"/>
          </w:tcPr>
          <w:p>
            <w:pPr>
              <w:pStyle w:val="MDPI42tablebody"/>
              <w:jc w:val="center"/>
            </w:pPr>
            <w:r>
              <w:rPr>
                <w:sz w:val="18"/>
                <w:szCs w:val="18"/>
              </w:rPr>
              <w:t xml:space="preserve">0.00</w:t>
            </w:r>
          </w:p>
        </w:tc>
        <w:tc>
          <w:tcPr>
            <w:tcW w:w="1137" w:type="dxa"/>
            <w:tcBorders>
              <w:bottom w:val="single" w:sz="8" w:space="0" w:color="000000"/>
            </w:tcBorders>
            <w:vAlign w:val="center"/>
          </w:tcPr>
          <w:p>
            <w:pPr>
              <w:pStyle w:val="MDPI42tablebody"/>
              <w:jc w:val="center"/>
            </w:pPr>
            <w:r>
              <w:rPr>
                <w:sz w:val="18"/>
                <w:szCs w:val="18"/>
              </w:rPr>
              <w:t xml:space="preserve">0.98</w:t>
            </w:r>
          </w:p>
        </w:tc>
        <w:tc>
          <w:tcPr>
            <w:tcW w:w="1137" w:type="dxa"/>
            <w:tcBorders>
              <w:bottom w:val="single" w:sz="8" w:space="0" w:color="000000"/>
            </w:tcBorders>
            <w:vAlign w:val="center"/>
          </w:tcPr>
          <w:p>
            <w:pPr>
              <w:pStyle w:val="MDPI42tablebody"/>
              <w:jc w:val="center"/>
            </w:pPr>
            <w:r>
              <w:rPr>
                <w:sz w:val="18"/>
                <w:szCs w:val="18"/>
              </w:rPr>
              <w:t xml:space="preserve">3.59</w:t>
            </w:r>
          </w:p>
        </w:tc>
        <w:tc>
          <w:tcPr>
            <w:tcW w:w="1141" w:type="dxa"/>
            <w:tcBorders>
              <w:bottom w:val="single" w:sz="8" w:space="0" w:color="000000"/>
            </w:tcBorders>
            <w:vAlign w:val="center"/>
          </w:tcPr>
          <w:p>
            <w:pPr>
              <w:pStyle w:val="MDPI42tablebody"/>
              <w:jc w:val="center"/>
            </w:pPr>
            <w:r>
              <w:rPr>
                <w:sz w:val="18"/>
                <w:szCs w:val="18"/>
              </w:rPr>
              <w:t xml:space="preserve">+3.44</w:t>
            </w:r>
          </w:p>
        </w:tc>
      </w:tr>
    </w:tbl>
    <w:p>
      <w:pPr>
        <w:pStyle w:val="MDPI43tablefooter"/>
      </w:pPr>
      <w:r>
        <w:rPr/>
        <w:t xml:space="preserve">n.i. = not identified (saturated reference).</w:t>
      </w:r>
    </w:p>
    <w:p>
      <w:pPr>
        <w:pStyle w:val="MDPI22heading2"/>
        <w:keepNext/>
      </w:pPr>
      <w:r>
        <w:rPr/>
        <w:t xml:space="preserve">5.3. Stage C: Accuracy Against Temperature on the Alphabet Task</w:t>
      </w:r>
    </w:p>
    <w:p>
      <w:pPr>
        <w:pStyle w:val="MDPI31text"/>
      </w:pPr>
      <w:r>
        <w:rPr/>
        <w:t xml:space="preserve">Stage C extends the temperature range to </w:t>
      </w:r>
      <w:r>
        <w:rPr>
          <w:i/>
        </w:rPr>
        <w:t xml:space="preserve">T</w:t>
      </w:r>
      <w:r>
        <w:rPr/>
        <w:t xml:space="preserve"> = 5 on the alphabet task for the three larger models (Figure 1 and Appendix B). On Qwen2.5-3B (100 trajectories per cell) a weak attractor (</w:t>
      </w:r>
      <w:r>
        <w:rPr>
          <w:i/>
        </w:rPr>
        <w:t xml:space="preserve">m</w:t>
      </w:r>
      <w:r>
        <w:rPr/>
        <w:t xml:space="preserve"> = 2) gave a monotone decline from 1.00 to 0.19. For </w:t>
      </w:r>
      <w:r>
        <w:rPr>
          <w:i/>
        </w:rPr>
        <w:t xml:space="preserve">m</w:t>
      </w:r>
      <w:r>
        <w:rPr/>
        <w:t xml:space="preserve"> = 3 and </w:t>
      </w:r>
      <w:r>
        <w:rPr>
          <w:i/>
        </w:rPr>
        <w:t xml:space="preserve">m</w:t>
      </w:r>
      <w:r>
        <w:rPr/>
        <w:t xml:space="preserve"> = 4, accuracy was 0.00 at </w:t>
      </w:r>
      <w:r>
        <w:rPr>
          <w:i/>
        </w:rPr>
        <w:t xml:space="preserve">T</w:t>
      </w:r>
      <w:r>
        <w:rPr/>
        <w:t xml:space="preserve"> = 0.15, rose to 0.45 at </w:t>
      </w:r>
      <w:r>
        <w:rPr>
          <w:i/>
        </w:rPr>
        <w:t xml:space="preserve">T</w:t>
      </w:r>
      <w:r>
        <w:rPr/>
        <w:t xml:space="preserve"> = 2.0, and fell to 0.13 and 0.14 at </w:t>
      </w:r>
      <w:r>
        <w:rPr>
          <w:i/>
        </w:rPr>
        <w:t xml:space="preserve">T</w:t>
      </w:r>
      <w:r>
        <w:rPr/>
        <w:t xml:space="preserve"> = 5. At </w:t>
      </w:r>
      <w:r>
        <w:rPr>
          <w:i/>
        </w:rPr>
        <w:t xml:space="preserve">m</w:t>
      </w:r>
      <w:r>
        <w:rPr/>
        <w:t xml:space="preserve"> = 6 the peak moved to </w:t>
      </w:r>
      <w:r>
        <w:rPr>
          <w:i/>
        </w:rPr>
        <w:t xml:space="preserve">T</w:t>
      </w:r>
      <w:r>
        <w:rPr/>
        <w:t xml:space="preserve"> = 2.5 (0.42). On Qwen2.5-7B (8-bit) the same sequence appeared one step lower in </w:t>
      </w:r>
      <w:r>
        <w:rPr>
          <w:i/>
        </w:rPr>
        <w:t xml:space="preserve">m</w:t>
      </w:r>
      <w:r>
        <w:rPr/>
        <w:t xml:space="preserve">: </w:t>
      </w:r>
      <w:r>
        <w:rPr>
          <w:i/>
        </w:rPr>
        <w:t xml:space="preserve">m</w:t>
      </w:r>
      <w:r>
        <w:rPr/>
        <w:t xml:space="preserve"> = 1 declined from 1.00 to 0.28, </w:t>
      </w:r>
      <w:r>
        <w:rPr>
          <w:i/>
        </w:rPr>
        <w:t xml:space="preserve">m</w:t>
      </w:r>
      <w:r>
        <w:rPr/>
        <w:t xml:space="preserve"> = 2 and </w:t>
      </w:r>
      <w:r>
        <w:rPr>
          <w:i/>
        </w:rPr>
        <w:t xml:space="preserve">m</w:t>
      </w:r>
      <w:r>
        <w:rPr/>
        <w:t xml:space="preserve"> = 3 peaked at 0.48 and 0.39 at </w:t>
      </w:r>
      <w:r>
        <w:rPr>
          <w:i/>
        </w:rPr>
        <w:t xml:space="preserve">T</w:t>
      </w:r>
      <w:r>
        <w:rPr/>
        <w:t xml:space="preserve"> = 2.5, and </w:t>
      </w:r>
      <w:r>
        <w:rPr>
          <w:i/>
        </w:rPr>
        <w:t xml:space="preserve">m</w:t>
      </w:r>
      <w:r>
        <w:rPr/>
        <w:t xml:space="preserve"> = 4 stayed between 0.16 and 0.19 from </w:t>
      </w:r>
      <w:r>
        <w:rPr>
          <w:i/>
        </w:rPr>
        <w:t xml:space="preserve">T</w:t>
      </w:r>
      <w:r>
        <w:rPr/>
        <w:t xml:space="preserve"> = 2 to </w:t>
      </w:r>
      <w:r>
        <w:rPr>
          <w:i/>
        </w:rPr>
        <w:t xml:space="preserve">T</w:t>
      </w:r>
      <w:r>
        <w:rPr/>
        <w:t xml:space="preserve"> = 5 without a peak. Llama-3.2-3B needed much longer planted runs, with </w:t>
      </w:r>
      <w:r>
        <w:rPr>
          <w:i/>
        </w:rPr>
        <w:t xml:space="preserve">m</w:t>
      </w:r>
      <w:r>
        <w:rPr/>
        <w:t xml:space="preserve"> between 24 and 64. For every run length accuracy rose from its value at low temperature and then fell, with peaks between 0.33 and 0.38 near </w:t>
      </w:r>
      <w:r>
        <w:rPr>
          <w:i/>
        </w:rPr>
        <w:t xml:space="preserve">T</w:t>
      </w:r>
      <w:r>
        <w:rPr/>
        <w:t xml:space="preserve"> = 2 to 2.5. For </w:t>
      </w:r>
      <w:r>
        <w:rPr>
          <w:i/>
        </w:rPr>
        <w:t xml:space="preserve">m</w:t>
      </w:r>
      <w:r>
        <w:rPr/>
        <w:t xml:space="preserve"> = 24 and 32 the agent left the planted letter at low temperature but then repeated the next letter, so the lock was a general repetition habit and not attachment to the planted token. Taking the standard errors at face value, each peak exceeds the </w:t>
      </w:r>
      <w:r>
        <w:rPr>
          <w:i/>
        </w:rPr>
        <w:t xml:space="preserve">T</w:t>
      </w:r>
      <w:r>
        <w:rPr/>
        <w:t xml:space="preserve"> = 0.15 cell by at least five standard errors and the </w:t>
      </w:r>
      <w:r>
        <w:rPr>
          <w:i/>
        </w:rPr>
        <w:t xml:space="preserve">T</w:t>
      </w:r>
      <w:r>
        <w:rPr/>
        <w:t xml:space="preserve"> = 5 cell by about three or more, although the peak was selected after the fact. For the sticky and strong attractors strict recovery was at most 0.20 in every clean-prompt cell, and no peak accuracy reached 0.50.</w:t>
      </w:r>
    </w:p>
    <w:p>
      <w:pPr>
        <w:pStyle w:val="MDPI52figure"/>
        <w:keepNext/>
        <w:ind w:left="0"/>
        <w:jc w:val="center"/>
      </w:pPr>
      <w:r>
        <w:drawing>
          <wp:inline distT="0" distB="0" distL="0" distR="0">
            <wp:extent cx="6477000" cy="2495550"/>
            <wp:effectExtent l="0" t="0" r="0" b="0"/>
            <wp:docPr id="2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1.png"/>
                    <pic:cNvPicPr>
                      <a:picLocks noChangeAspect="1"/>
                    </pic:cNvPicPr>
                  </pic:nvPicPr>
                  <pic:blipFill>
                    <a:blip r:embed="rId201"/>
                    <a:stretch>
                      <a:fillRect/>
                    </a:stretch>
                  </pic:blipFill>
                  <pic:spPr>
                    <a:xfrm>
                      <a:off x="0" y="0"/>
                      <a:ext cx="6477000" cy="2495550"/>
                    </a:xfrm>
                    <a:prstGeom prst="rect">
                      <a:avLst/>
                    </a:prstGeom>
                  </pic:spPr>
                </pic:pic>
              </a:graphicData>
            </a:graphic>
          </wp:inline>
        </w:drawing>
      </w:r>
    </w:p>
    <w:p>
      <w:pPr>
        <w:pStyle w:val="MDPI51figurecaption"/>
      </w:pPr>
      <w:r>
        <w:rPr>
          <w:b/>
        </w:rPr>
        <w:t xml:space="preserve">Figure 1.</w:t>
      </w:r>
      <w:r>
        <w:rPr/>
        <w:t xml:space="preserve"> Local accuracy against nominal temperature on the alphabet task for planted runs of different length </w:t>
      </w:r>
      <w:r>
        <w:rPr>
          <w:i/>
        </w:rPr>
        <w:t xml:space="preserve">m</w:t>
      </w:r>
      <w:r>
        <w:rPr/>
        <w:t xml:space="preserve"> (clean prompt). Error bars are one standard error over trajectories. The 7B model was run as an 8-bit quantized file.</w:t>
      </w:r>
    </w:p>
    <w:p>
      <w:pPr>
        <w:pStyle w:val="MDPI31text"/>
      </w:pPr>
      <w:r>
        <w:rPr/>
        <w:t xml:space="preserve">The pressure cells of Stage C point in the same direction as those of Stage D below. On Qwen2.5-3B at </w:t>
      </w:r>
      <w:r>
        <w:rPr>
          <w:i/>
        </w:rPr>
        <w:t xml:space="preserve">m</w:t>
      </w:r>
      <w:r>
        <w:rPr/>
        <w:t xml:space="preserve"> = 3, pressure raised T</w:t>
      </w:r>
      <w:r>
        <w:rPr>
          <w:vertAlign w:val="subscript"/>
        </w:rPr>
        <w:t xml:space="preserve">eff</w:t>
      </w:r>
      <w:r>
        <w:rPr/>
        <w:t xml:space="preserve"> to about 2.3 to 2.5 at </w:t>
      </w:r>
      <w:r>
        <w:rPr>
          <w:i/>
        </w:rPr>
        <w:t xml:space="preserve">T</w:t>
      </w:r>
      <w:r>
        <w:rPr/>
        <w:t xml:space="preserve"> = 0.4 and </w:t>
      </w:r>
      <w:r>
        <w:rPr>
          <w:i/>
        </w:rPr>
        <w:t xml:space="preserve">T</w:t>
      </w:r>
      <w:r>
        <w:rPr/>
        <w:t xml:space="preserve"> = 1.2, which is roughly 2.0 and 1.2 above the nominal temperature, and it reduced lock-in from 0.96 to 0.06 at </w:t>
      </w:r>
      <w:r>
        <w:rPr>
          <w:i/>
        </w:rPr>
        <w:t xml:space="preserve">T</w:t>
      </w:r>
      <w:r>
        <w:rPr/>
        <w:t xml:space="preserve"> = 0.4 without any strict recovery. On Qwen2.5-7B at </w:t>
      </w:r>
      <w:r>
        <w:rPr>
          <w:i/>
        </w:rPr>
        <w:t xml:space="preserve">m</w:t>
      </w:r>
      <w:r>
        <w:rPr/>
        <w:t xml:space="preserve"> = 2, pressure raised T</w:t>
      </w:r>
      <w:r>
        <w:rPr>
          <w:vertAlign w:val="subscript"/>
        </w:rPr>
        <w:t xml:space="preserve">eff</w:t>
      </w:r>
      <w:r>
        <w:rPr/>
        <w:t xml:space="preserve"> to 3.4 at </w:t>
      </w:r>
      <w:r>
        <w:rPr>
          <w:i/>
        </w:rPr>
        <w:t xml:space="preserve">T</w:t>
      </w:r>
      <w:r>
        <w:rPr/>
        <w:t xml:space="preserve"> = 0.8 and 3.6 at </w:t>
      </w:r>
      <w:r>
        <w:rPr>
          <w:i/>
        </w:rPr>
        <w:t xml:space="preserve">T</w:t>
      </w:r>
      <w:r>
        <w:rPr/>
        <w:t xml:space="preserve"> = 2.0. On Llama-3.2-3B at </w:t>
      </w:r>
      <w:r>
        <w:rPr>
          <w:i/>
        </w:rPr>
        <w:t xml:space="preserve">m</w:t>
      </w:r>
      <w:r>
        <w:rPr/>
        <w:t xml:space="preserve"> = 48 pressure did not raise T</w:t>
      </w:r>
      <w:r>
        <w:rPr>
          <w:vertAlign w:val="subscript"/>
        </w:rPr>
        <w:t xml:space="preserve">eff</w:t>
      </w:r>
      <w:r>
        <w:rPr/>
        <w:t xml:space="preserve"> at </w:t>
      </w:r>
      <w:r>
        <w:rPr>
          <w:i/>
        </w:rPr>
        <w:t xml:space="preserve">T</w:t>
      </w:r>
      <w:r>
        <w:rPr/>
        <w:t xml:space="preserve"> = 0.8, where the difference between T</w:t>
      </w:r>
      <w:r>
        <w:rPr>
          <w:vertAlign w:val="subscript"/>
        </w:rPr>
        <w:t xml:space="preserve">eff</w:t>
      </w:r>
      <w:r>
        <w:rPr/>
        <w:t xml:space="preserve"> and </w:t>
      </w:r>
      <w:r>
        <w:rPr>
          <w:i/>
        </w:rPr>
        <w:t xml:space="preserve">T</w:t>
      </w:r>
      <w:r>
        <w:rPr/>
        <w:t xml:space="preserve"> was −0.40 against −0.08 in the clean cell, while lock-in rose from 0.59 to 0.84. The choices were therefore more concentrated than the nominal temperature implies, which is the opposite sign to the Qwen result.</w:t>
      </w:r>
    </w:p>
    <w:p>
      <w:pPr>
        <w:pStyle w:val="MDPI22heading2"/>
        <w:keepNext/>
      </w:pPr>
      <w:r>
        <w:rPr/>
        <w:t xml:space="preserve">5.4. Stage D: Four Task Families</w:t>
      </w:r>
    </w:p>
    <w:p>
      <w:pPr>
        <w:pStyle w:val="MDPI31text"/>
      </w:pPr>
      <w:r>
        <w:rPr/>
        <w:t xml:space="preserve">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w:t>
      </w:r>
      <w:r>
        <w:rPr>
          <w:i/>
        </w:rPr>
        <w:t xml:space="preserve">T</w:t>
      </w:r>
      <w:r>
        <w:rPr/>
        <w:t xml:space="preserve">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w:t>
      </w:r>
      <w:r>
        <w:rPr>
          <w:i/>
        </w:rPr>
        <w:t xml:space="preserve">T</w:t>
      </w:r>
      <w:r>
        <w:rPr/>
        <w:t xml:space="preserve"> = 3, the upper end of the grid in this stage, so the absence of a peak there is not evidence against H2. Stage C shows that the alphabet peaks lie at </w:t>
      </w:r>
      <w:r>
        <w:rPr>
          <w:i/>
        </w:rPr>
        <w:t xml:space="preserve">T</w:t>
      </w:r>
      <w:r>
        <w:rPr/>
        <w:t xml:space="preserve"> = 2 to 2.5. Taken together, the two stages support the distinction between weak attractors, which are absorbed, and attractors that lock the agent at low temperature. They do not support a sharp boundary between sticky and strong attractors.</w:t>
      </w:r>
    </w:p>
    <w:p>
      <w:pPr>
        <w:pStyle w:val="MDPI52figure"/>
        <w:keepNext/>
        <w:ind w:left="2608"/>
        <w:jc w:val="center"/>
      </w:pPr>
      <w:r>
        <w:drawing>
          <wp:inline distT="0" distB="0" distL="0" distR="0">
            <wp:extent cx="4762500" cy="6296025"/>
            <wp:effectExtent l="0" t="0" r="0" b="0"/>
            <wp:docPr id="2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2.png"/>
                    <pic:cNvPicPr>
                      <a:picLocks noChangeAspect="1"/>
                    </pic:cNvPicPr>
                  </pic:nvPicPr>
                  <pic:blipFill>
                    <a:blip r:embed="rId202"/>
                    <a:stretch>
                      <a:fillRect/>
                    </a:stretch>
                  </pic:blipFill>
                  <pic:spPr>
                    <a:xfrm>
                      <a:off x="0" y="0"/>
                      <a:ext cx="4762500" cy="6296025"/>
                    </a:xfrm>
                    <a:prstGeom prst="rect">
                      <a:avLst/>
                    </a:prstGeom>
                  </pic:spPr>
                </pic:pic>
              </a:graphicData>
            </a:graphic>
          </wp:inline>
        </w:drawing>
      </w:r>
    </w:p>
    <w:p>
      <w:pPr>
        <w:pStyle w:val="MDPI51figurecaption"/>
      </w:pPr>
      <w:r>
        <w:rPr>
          <w:b/>
        </w:rPr>
        <w:t xml:space="preserve">Figure 2.</w:t>
      </w:r>
      <w:r>
        <w:rPr/>
        <w:t xml:space="preserve"> Local accuracy against nominal temperature for four task families and two models (clean prompt, 40 trajectories per cell). Error bars are one standard error over trajectories.</w:t>
      </w:r>
    </w:p>
    <w:p>
      <w:pPr>
        <w:pStyle w:val="MDPI41tablecaption"/>
        <w:keepNext/>
      </w:pPr>
      <w:r>
        <w:rPr>
          <w:b/>
        </w:rPr>
        <w:t xml:space="preserve">Table 6.</w:t>
      </w:r>
      <w:r>
        <w:rPr/>
        <w:t xml:space="preserve"> Shape of the accuracy–temperature curve by attractor strength (peak temperature and peak accuracy in parentheses).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8"/>
        <w:gridCol w:w="2769"/>
        <w:gridCol w:w="2769"/>
        <w:gridCol w:w="2770"/>
      </w:tblGrid>
      <w:tr>
        <w:trPr>
          <w:cantSplit/>
          <w:tblHeader/>
        </w:trPr>
        <w:tc>
          <w:tcPr>
            <w:tcW w:w="2158" w:type="dxa"/>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Weak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Sticky</w:t>
            </w:r>
          </w:p>
        </w:tc>
        <w:tc>
          <w:tcPr>
            <w:tcW w:w="2770" w:type="dxa"/>
            <w:tcBorders>
              <w:top w:val="single" w:sz="8" w:space="0" w:color="000000"/>
              <w:bottom w:val="single" w:sz="4" w:space="0" w:color="000000"/>
            </w:tcBorders>
            <w:vAlign w:val="center"/>
          </w:tcPr>
          <w:p>
            <w:pPr>
              <w:pStyle w:val="MDPI42tablebody"/>
              <w:jc w:val="center"/>
            </w:pPr>
            <w:r>
              <w:rPr>
                <w:b/>
                <w:sz w:val="16"/>
                <w:szCs w:val="16"/>
              </w:rPr>
              <w:t xml:space="preserve">Strong</w:t>
            </w:r>
          </w:p>
        </w:tc>
      </w:tr>
      <w:tr>
        <w:trPr>
          <w:cantSplit/>
        </w:trPr>
        <w:tc>
          <w:tcPr>
            <w:tcW w:w="2158" w:type="dxa"/>
            <w:tcBorders/>
            <w:vAlign w:val="center"/>
          </w:tcPr>
          <w:p>
            <w:pPr>
              <w:pStyle w:val="MDPI42tablebody"/>
              <w:jc w:val="left"/>
            </w:pPr>
            <w:r>
              <w:rPr>
                <w:sz w:val="16"/>
                <w:szCs w:val="16"/>
              </w:rPr>
              <w:t xml:space="preserve">Qwen2.5-3B, Alphabet</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2;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3; </w:t>
            </w:r>
            <w:r>
              <w:rPr>
                <w:i/>
                <w:sz w:val="16"/>
                <w:szCs w:val="16"/>
              </w:rPr>
              <w:t xml:space="preserve">T</w:t>
            </w:r>
            <w:r>
              <w:rPr>
                <w:sz w:val="16"/>
                <w:szCs w:val="16"/>
              </w:rPr>
              <w:t xml:space="preserve">* = 1.2, 0.42)</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2, 0.39)</w:t>
            </w:r>
          </w:p>
        </w:tc>
      </w:tr>
      <w:tr>
        <w:trPr>
          <w:cantSplit/>
        </w:trPr>
        <w:tc>
          <w:tcPr>
            <w:tcW w:w="2158" w:type="dxa"/>
            <w:tcBorders/>
            <w:vAlign w:val="center"/>
          </w:tcPr>
          <w:p>
            <w:pPr>
              <w:pStyle w:val="MDPI42tablebody"/>
              <w:jc w:val="left"/>
            </w:pPr>
            <w:r>
              <w:rPr>
                <w:sz w:val="16"/>
                <w:szCs w:val="16"/>
              </w:rPr>
              <w:t xml:space="preserve">Qwen2.5-3B,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 </w:t>
            </w:r>
            <w:r>
              <w:rPr>
                <w:i/>
                <w:sz w:val="16"/>
                <w:szCs w:val="16"/>
              </w:rPr>
              <w:t xml:space="preserve">T</w:t>
            </w:r>
            <w:r>
              <w:rPr>
                <w:sz w:val="16"/>
                <w:szCs w:val="16"/>
              </w:rPr>
              <w:t xml:space="preserve">* = 2, 0.45)</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0.24)</w:t>
            </w:r>
          </w:p>
        </w:tc>
      </w:tr>
      <w:tr>
        <w:trPr>
          <w:cantSplit/>
        </w:trPr>
        <w:tc>
          <w:tcPr>
            <w:tcW w:w="2158" w:type="dxa"/>
            <w:tcBorders/>
            <w:vAlign w:val="center"/>
          </w:tcPr>
          <w:p>
            <w:pPr>
              <w:pStyle w:val="MDPI42tablebody"/>
              <w:jc w:val="left"/>
            </w:pPr>
            <w:r>
              <w:rPr>
                <w:sz w:val="16"/>
                <w:szCs w:val="16"/>
              </w:rPr>
              <w:t xml:space="preserve">Qwen2.5-3B,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0.84)</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3; </w:t>
            </w:r>
            <w:r>
              <w:rPr>
                <w:i/>
                <w:sz w:val="16"/>
                <w:szCs w:val="16"/>
              </w:rPr>
              <w:t xml:space="preserve">T</w:t>
            </w:r>
            <w:r>
              <w:rPr>
                <w:sz w:val="16"/>
                <w:szCs w:val="16"/>
              </w:rPr>
              <w:t xml:space="preserve">* = 3, 0.33)</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6; </w:t>
            </w:r>
            <w:r>
              <w:rPr>
                <w:i/>
                <w:sz w:val="16"/>
                <w:szCs w:val="16"/>
              </w:rPr>
              <w:t xml:space="preserve">T</w:t>
            </w:r>
            <w:r>
              <w:rPr>
                <w:sz w:val="16"/>
                <w:szCs w:val="16"/>
              </w:rPr>
              <w:t xml:space="preserve">* = 3, 0.15)</w:t>
            </w:r>
          </w:p>
        </w:tc>
      </w:tr>
      <w:tr>
        <w:trPr>
          <w:cantSplit/>
        </w:trPr>
        <w:tc>
          <w:tcPr>
            <w:tcW w:w="2158" w:type="dxa"/>
            <w:tcBorders/>
            <w:vAlign w:val="center"/>
          </w:tcPr>
          <w:p>
            <w:pPr>
              <w:pStyle w:val="MDPI42tablebody"/>
              <w:jc w:val="left"/>
            </w:pPr>
            <w:r>
              <w:rPr>
                <w:sz w:val="16"/>
                <w:szCs w:val="16"/>
              </w:rPr>
              <w:t xml:space="preserve">Qwen2.5-3B, Number words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2; </w:t>
            </w:r>
            <w:r>
              <w:rPr>
                <w:i/>
                <w:sz w:val="16"/>
                <w:szCs w:val="16"/>
              </w:rPr>
              <w:t xml:space="preserve">T</w:t>
            </w:r>
            <w:r>
              <w:rPr>
                <w:sz w:val="16"/>
                <w:szCs w:val="16"/>
              </w:rPr>
              <w:t xml:space="preserve">* = 3, 0.30)</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0.21)</w:t>
            </w:r>
          </w:p>
        </w:tc>
      </w:tr>
      <w:tr>
        <w:trPr>
          <w:cantSplit/>
        </w:trPr>
        <w:tc>
          <w:tcPr>
            <w:tcW w:w="2158" w:type="dxa"/>
            <w:tcBorders/>
            <w:vAlign w:val="center"/>
          </w:tcPr>
          <w:p>
            <w:pPr>
              <w:pStyle w:val="MDPI42tablebody"/>
              <w:jc w:val="left"/>
            </w:pPr>
            <w:r>
              <w:rPr>
                <w:sz w:val="16"/>
                <w:szCs w:val="16"/>
              </w:rPr>
              <w:t xml:space="preserve">Llama-3.2-3B, Alphabet</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24; </w:t>
            </w:r>
            <w:r>
              <w:rPr>
                <w:i/>
                <w:sz w:val="16"/>
                <w:szCs w:val="16"/>
              </w:rPr>
              <w:t xml:space="preserve">T</w:t>
            </w:r>
            <w:r>
              <w:rPr>
                <w:sz w:val="16"/>
                <w:szCs w:val="16"/>
              </w:rPr>
              <w:t xml:space="preserve">* = 2, 0.37)</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48; </w:t>
            </w:r>
            <w:r>
              <w:rPr>
                <w:i/>
                <w:sz w:val="16"/>
                <w:szCs w:val="16"/>
              </w:rPr>
              <w:t xml:space="preserve">T</w:t>
            </w:r>
            <w:r>
              <w:rPr>
                <w:sz w:val="16"/>
                <w:szCs w:val="16"/>
              </w:rPr>
              <w:t xml:space="preserve">* = 1.2, 0.32)</w:t>
            </w:r>
          </w:p>
        </w:tc>
        <w:tc>
          <w:tcPr>
            <w:tcW w:w="2770" w:type="dxa"/>
            <w:tcBorders/>
            <w:vAlign w:val="center"/>
          </w:tcPr>
          <w:p>
            <w:pPr>
              <w:pStyle w:val="MDPI42tablebody"/>
              <w:jc w:val="center"/>
            </w:pPr>
            <w:r>
              <w:rPr>
                <w:sz w:val="16"/>
                <w:szCs w:val="16"/>
              </w:rPr>
              <w:t xml:space="preserve">–</w:t>
            </w:r>
          </w:p>
        </w:tc>
      </w:tr>
      <w:tr>
        <w:trPr>
          <w:cantSplit/>
        </w:trPr>
        <w:tc>
          <w:tcPr>
            <w:tcW w:w="2158" w:type="dxa"/>
            <w:tcBorders/>
            <w:vAlign w:val="center"/>
          </w:tcPr>
          <w:p>
            <w:pPr>
              <w:pStyle w:val="MDPI42tablebody"/>
              <w:jc w:val="left"/>
            </w:pPr>
            <w:r>
              <w:rPr>
                <w:sz w:val="16"/>
                <w:szCs w:val="16"/>
              </w:rPr>
              <w:t xml:space="preserve">Llama-3.2-3B,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3; </w:t>
            </w:r>
            <w:r>
              <w:rPr>
                <w:i/>
                <w:sz w:val="16"/>
                <w:szCs w:val="16"/>
              </w:rPr>
              <w:t xml:space="preserve">T</w:t>
            </w:r>
            <w:r>
              <w:rPr>
                <w:sz w:val="16"/>
                <w:szCs w:val="16"/>
              </w:rPr>
              <w:t xml:space="preserve">* = 1.2, 0.38)</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1.2, 0.29)</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12; </w:t>
            </w:r>
            <w:r>
              <w:rPr>
                <w:i/>
                <w:sz w:val="16"/>
                <w:szCs w:val="16"/>
              </w:rPr>
              <w:t xml:space="preserve">T</w:t>
            </w:r>
            <w:r>
              <w:rPr>
                <w:sz w:val="16"/>
                <w:szCs w:val="16"/>
              </w:rPr>
              <w:t xml:space="preserve">* = 2, 0.23)</w:t>
            </w:r>
          </w:p>
        </w:tc>
      </w:tr>
      <w:tr>
        <w:trPr>
          <w:cantSplit/>
        </w:trPr>
        <w:tc>
          <w:tcPr>
            <w:tcW w:w="2158" w:type="dxa"/>
            <w:tcBorders/>
            <w:vAlign w:val="center"/>
          </w:tcPr>
          <w:p>
            <w:pPr>
              <w:pStyle w:val="MDPI42tablebody"/>
              <w:jc w:val="left"/>
            </w:pPr>
            <w:r>
              <w:rPr>
                <w:sz w:val="16"/>
                <w:szCs w:val="16"/>
              </w:rPr>
              <w:t xml:space="preserve">Llama-3.2-3B,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16;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32; </w:t>
            </w:r>
            <w:r>
              <w:rPr>
                <w:i/>
                <w:sz w:val="16"/>
                <w:szCs w:val="16"/>
              </w:rPr>
              <w:t xml:space="preserve">T</w:t>
            </w:r>
            <w:r>
              <w:rPr>
                <w:sz w:val="16"/>
                <w:szCs w:val="16"/>
              </w:rPr>
              <w:t xml:space="preserve">* = 0.8, 0.51)</w:t>
            </w:r>
          </w:p>
        </w:tc>
        <w:tc>
          <w:tcPr>
            <w:tcW w:w="2770"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64; </w:t>
            </w:r>
            <w:r>
              <w:rPr>
                <w:i/>
                <w:sz w:val="16"/>
                <w:szCs w:val="16"/>
              </w:rPr>
              <w:t xml:space="preserve">T</w:t>
            </w:r>
            <w:r>
              <w:rPr>
                <w:sz w:val="16"/>
                <w:szCs w:val="16"/>
              </w:rPr>
              <w:t xml:space="preserve">* = 2, 0.40)</w:t>
            </w:r>
          </w:p>
        </w:tc>
      </w:tr>
      <w:tr>
        <w:trPr>
          <w:cantSplit/>
        </w:trPr>
        <w:tc>
          <w:tcPr>
            <w:tcW w:w="2158" w:type="dxa"/>
            <w:tcBorders>
              <w:bottom w:val="single" w:sz="8" w:space="0" w:color="000000"/>
            </w:tcBorders>
            <w:vAlign w:val="center"/>
          </w:tcPr>
          <w:p>
            <w:pPr>
              <w:pStyle w:val="MDPI42tablebody"/>
              <w:jc w:val="left"/>
            </w:pPr>
            <w:r>
              <w:rPr>
                <w:sz w:val="16"/>
                <w:szCs w:val="16"/>
              </w:rPr>
              <w:t xml:space="preserve">Llama-3.2-3B, Number words</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4; </w:t>
            </w:r>
            <w:r>
              <w:rPr>
                <w:i/>
                <w:sz w:val="16"/>
                <w:szCs w:val="16"/>
              </w:rPr>
              <w:t xml:space="preserve">T</w:t>
            </w:r>
            <w:r>
              <w:rPr>
                <w:sz w:val="16"/>
                <w:szCs w:val="16"/>
              </w:rPr>
              <w:t xml:space="preserve">* = 0.15, 1.00)</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6; </w:t>
            </w:r>
            <w:r>
              <w:rPr>
                <w:i/>
                <w:sz w:val="16"/>
                <w:szCs w:val="16"/>
              </w:rPr>
              <w:t xml:space="preserve">T</w:t>
            </w:r>
            <w:r>
              <w:rPr>
                <w:sz w:val="16"/>
                <w:szCs w:val="16"/>
              </w:rPr>
              <w:t xml:space="preserve">* = 0.15, 0.66)</w:t>
            </w:r>
          </w:p>
        </w:tc>
        <w:tc>
          <w:tcPr>
            <w:tcW w:w="2770" w:type="dxa"/>
            <w:tcBorders>
              <w:bottom w:val="single" w:sz="8" w:space="0" w:color="000000"/>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12; </w:t>
            </w:r>
            <w:r>
              <w:rPr>
                <w:i/>
                <w:sz w:val="16"/>
                <w:szCs w:val="16"/>
              </w:rPr>
              <w:t xml:space="preserve">T</w:t>
            </w:r>
            <w:r>
              <w:rPr>
                <w:sz w:val="16"/>
                <w:szCs w:val="16"/>
              </w:rPr>
              <w:t xml:space="preserve">* = 1.2, 0.38)</w:t>
            </w:r>
          </w:p>
        </w:tc>
      </w:tr>
    </w:tbl>
    <w:p>
      <w:pPr>
        <w:pStyle w:val="MDPI43tablefooter"/>
        <w:ind w:left="0"/>
      </w:pPr>
      <w:r>
        <w:rPr/>
        <w:t xml:space="preserve">Curves were classified from five temperatures (0.15 to 3.0). An interior peak requires the maximum to exceed both end points by at least 0.10 and by two standard errors.</w:t>
      </w:r>
    </w:p>
    <w:p>
      <w:pPr>
        <w:pStyle w:val="MDPI22heading2"/>
        <w:keepNext/>
      </w:pPr>
      <w:r>
        <w:rPr/>
        <w:t xml:space="preserve">5.5. Pressure, Contamination and the Decision Temperature (H1 and H3)</w:t>
      </w:r>
    </w:p>
    <w:p>
      <w:pPr>
        <w:pStyle w:val="MDPI31text"/>
      </w:pPr>
      <w:r>
        <w:rPr/>
        <w:t xml:space="preserve">Table 7 gives T</w:t>
      </w:r>
      <w:r>
        <w:rPr>
          <w:vertAlign w:val="subscript"/>
        </w:rPr>
        <w:t xml:space="preserve">eff</w:t>
      </w:r>
      <w:r>
        <w:rPr/>
        <w:t xml:space="preserve"> − </w:t>
      </w:r>
      <w:r>
        <w:rPr>
          <w:i/>
        </w:rPr>
        <w:t xml:space="preserve">T</w:t>
      </w:r>
      <w:r>
        <w:rPr/>
        <w:t xml:space="preserve"> for the clean cell and the three distortion conditions at the sticky attractor. Pressure raised T</w:t>
      </w:r>
      <w:r>
        <w:rPr>
          <w:vertAlign w:val="subscript"/>
        </w:rPr>
        <w:t xml:space="preserve">eff</w:t>
      </w:r>
      <w:r>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w:t>
      </w:r>
      <w:r>
        <w:rPr>
          <w:i/>
        </w:rPr>
        <w:t xml:space="preserve">T</w:t>
      </w:r>
      <w:r>
        <w:rPr/>
        <w:t xml:space="preserve"> = 0.8 on the number task (T</w:t>
      </w:r>
      <w:r>
        <w:rPr>
          <w:vertAlign w:val="subscript"/>
        </w:rPr>
        <w:t xml:space="preserve">eff</w:t>
      </w:r>
      <w:r>
        <w:rPr/>
        <w:t xml:space="preserve"> − </w:t>
      </w:r>
      <w:r>
        <w:rPr>
          <w:i/>
        </w:rPr>
        <w:t xml:space="preserve">T</w:t>
      </w:r>
      <w:r>
        <w:rPr/>
        <w:t xml:space="preserve"> = +2.26) and the alphabet task (+1.63). For the planets task at </w:t>
      </w:r>
      <w:r>
        <w:rPr>
          <w:i/>
        </w:rPr>
        <w:t xml:space="preserve">T</w:t>
      </w:r>
      <w:r>
        <w:rPr/>
        <w:t xml:space="preserve"> = 0.8 the estimate is not identified in one of the two cells. Contamination alone raised T</w:t>
      </w:r>
      <w:r>
        <w:rPr>
          <w:vertAlign w:val="subscript"/>
        </w:rPr>
        <w:t xml:space="preserve">eff</w:t>
      </w:r>
      <w:r>
        <w:rPr/>
        <w:t xml:space="preserve"> in 2 of 6 identified Qwen cells, both on the number task, and in none for Llama. H3 predicts that adding contamination to pressure strengthens the effect. Across 15 matched comparisons the mean difference in T</w:t>
      </w:r>
      <w:r>
        <w:rPr>
          <w:vertAlign w:val="subscript"/>
        </w:rPr>
        <w:t xml:space="preserve">eff</w:t>
      </w:r>
      <w:r>
        <w:rPr/>
        <w:t xml:space="preserve"> − </w:t>
      </w:r>
      <w:r>
        <w:rPr>
          <w:i/>
        </w:rPr>
        <w:t xml:space="preserve">T</w:t>
      </w:r>
      <w:r>
        <w:rPr/>
        <w:t xml:space="preserve">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pStyle w:val="MDPI41tablecaption"/>
        <w:keepNext/>
      </w:pPr>
      <w:r>
        <w:rPr>
          <w:b/>
        </w:rPr>
        <w:t xml:space="preserve">Table 7.</w:t>
      </w:r>
      <w:r>
        <w:rPr/>
        <w:t xml:space="preserve"> T</w:t>
      </w:r>
      <w:r>
        <w:rPr>
          <w:vertAlign w:val="subscript"/>
        </w:rPr>
        <w:t xml:space="preserve">eff</w:t>
      </w:r>
      <w:r>
        <w:rPr/>
        <w:t xml:space="preserve"> − </w:t>
      </w:r>
      <w:r>
        <w:rPr>
          <w:i/>
        </w:rPr>
        <w:t xml:space="preserve">T</w:t>
      </w:r>
      <w:r>
        <w:rPr/>
        <w:t xml:space="preserve"> at the sticky attractor, by prompt condition and nominal temperature.</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589"/>
        <w:gridCol w:w="984"/>
        <w:gridCol w:w="984"/>
        <w:gridCol w:w="984"/>
        <w:gridCol w:w="984"/>
        <w:gridCol w:w="984"/>
        <w:gridCol w:w="984"/>
        <w:gridCol w:w="984"/>
        <w:gridCol w:w="989"/>
      </w:tblGrid>
      <w:tr>
        <w:trPr>
          <w:cantSplit/>
          <w:tblHeader/>
        </w:trPr>
        <w:tc>
          <w:tcPr>
            <w:tcW w:w="2589" w:type="dxa"/>
            <w:vMerge w:val="restart"/>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3936"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0.8</w:t>
            </w:r>
          </w:p>
        </w:tc>
        <w:tc>
          <w:tcPr>
            <w:tcW w:w="3941"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2.0</w:t>
            </w:r>
          </w:p>
        </w:tc>
      </w:tr>
      <w:tr>
        <w:trPr>
          <w:cantSplit/>
          <w:tblHeader/>
        </w:trPr>
        <w:tc>
          <w:tcPr>
            <w:tcW w:w="2589" w:type="dxa"/>
            <w:vMerge/>
            <w:tcBorders>
              <w:bottom w:val="single" w:sz="4" w:space="0" w:color="000000"/>
            </w:tcBorders>
            <w:vAlign w:val="center"/>
          </w:tcPr>
          <w:p>
            <w:pPr>
              <w:pStyle w:val="MDPI42tablebody"/>
            </w:pP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4" w:type="dxa"/>
            <w:tcBorders>
              <w:bottom w:val="single" w:sz="4" w:space="0" w:color="000000"/>
            </w:tcBorders>
            <w:vAlign w:val="center"/>
          </w:tcPr>
          <w:p>
            <w:pPr>
              <w:pStyle w:val="MDPI42tablebody"/>
              <w:jc w:val="center"/>
            </w:pPr>
            <w:r>
              <w:rPr>
                <w:b/>
                <w:sz w:val="16"/>
                <w:szCs w:val="16"/>
              </w:rPr>
              <w:t xml:space="preserve">Both</w:t>
            </w: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9" w:type="dxa"/>
            <w:tcBorders>
              <w:bottom w:val="single" w:sz="4" w:space="0" w:color="000000"/>
            </w:tcBorders>
            <w:vAlign w:val="center"/>
          </w:tcPr>
          <w:p>
            <w:pPr>
              <w:pStyle w:val="MDPI42tablebody"/>
              <w:jc w:val="center"/>
            </w:pPr>
            <w:r>
              <w:rPr>
                <w:b/>
                <w:sz w:val="16"/>
                <w:szCs w:val="16"/>
              </w:rPr>
              <w:t xml:space="preserve">Both</w:t>
            </w:r>
          </w:p>
        </w:tc>
      </w:tr>
      <w:tr>
        <w:trPr>
          <w:cantSplit/>
        </w:trPr>
        <w:tc>
          <w:tcPr>
            <w:tcW w:w="2589" w:type="dxa"/>
            <w:tcBorders/>
            <w:vAlign w:val="center"/>
          </w:tcPr>
          <w:p>
            <w:pPr>
              <w:pStyle w:val="MDPI42tablebody"/>
              <w:jc w:val="left"/>
            </w:pPr>
            <w:r>
              <w:rPr>
                <w:sz w:val="16"/>
                <w:szCs w:val="16"/>
              </w:rPr>
              <w:t xml:space="preserve">Qwen2.5-3B, Alphabet</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+0.72</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+1.06</w:t>
            </w:r>
          </w:p>
        </w:tc>
      </w:tr>
      <w:tr>
        <w:trPr>
          <w:cantSplit/>
        </w:trPr>
        <w:tc>
          <w:tcPr>
            <w:tcW w:w="2589" w:type="dxa"/>
            <w:tcBorders/>
            <w:vAlign w:val="center"/>
          </w:tcPr>
          <w:p>
            <w:pPr>
              <w:pStyle w:val="MDPI42tablebody"/>
              <w:jc w:val="left"/>
            </w:pPr>
            <w:r>
              <w:rPr>
                <w:sz w:val="16"/>
                <w:szCs w:val="16"/>
              </w:rPr>
              <w:t xml:space="preserve">Qwen2.5-3B, Months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+1.02</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+0.91</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−0.29</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Planets</w:t>
            </w:r>
          </w:p>
        </w:tc>
        <w:tc>
          <w:tcPr>
            <w:tcW w:w="984" w:type="dxa"/>
            <w:tcBorders/>
            <w:vAlign w:val="center"/>
          </w:tcPr>
          <w:p>
            <w:pPr>
              <w:pStyle w:val="MDPI42tablebody"/>
              <w:jc w:val="center"/>
            </w:pPr>
            <w:r>
              <w:rPr>
                <w:sz w:val="16"/>
                <w:szCs w:val="16"/>
              </w:rPr>
              <w:t xml:space="preserve">+0.31</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−0.13</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Number words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+2.26</w:t>
            </w:r>
          </w:p>
        </w:tc>
        <w:tc>
          <w:tcPr>
            <w:tcW w:w="984" w:type="dxa"/>
            <w:tcBorders/>
            <w:vAlign w:val="center"/>
          </w:tcPr>
          <w:p>
            <w:pPr>
              <w:pStyle w:val="MDPI42tablebody"/>
              <w:jc w:val="center"/>
            </w:pPr>
            <w:r>
              <w:rPr>
                <w:sz w:val="16"/>
                <w:szCs w:val="16"/>
              </w:rPr>
              <w:t xml:space="preserve">+0.96</w:t>
            </w:r>
          </w:p>
        </w:tc>
        <w:tc>
          <w:tcPr>
            <w:tcW w:w="984" w:type="dxa"/>
            <w:tcBorders/>
            <w:vAlign w:val="center"/>
          </w:tcPr>
          <w:p>
            <w:pPr>
              <w:pStyle w:val="MDPI42tablebody"/>
              <w:jc w:val="center"/>
            </w:pPr>
            <w:r>
              <w:rPr>
                <w:sz w:val="16"/>
                <w:szCs w:val="16"/>
              </w:rPr>
              <w:t xml:space="preserve">+2.08</w:t>
            </w:r>
          </w:p>
        </w:tc>
        <w:tc>
          <w:tcPr>
            <w:tcW w:w="984" w:type="dxa"/>
            <w:tcBorders/>
            <w:vAlign w:val="center"/>
          </w:tcPr>
          <w:p>
            <w:pPr>
              <w:pStyle w:val="MDPI42tablebody"/>
              <w:jc w:val="center"/>
            </w:pPr>
            <w:r>
              <w:rPr>
                <w:sz w:val="16"/>
                <w:szCs w:val="16"/>
              </w:rPr>
              <w:t xml:space="preserve">−0.24</w:t>
            </w:r>
          </w:p>
        </w:tc>
        <w:tc>
          <w:tcPr>
            <w:tcW w:w="984" w:type="dxa"/>
            <w:tcBorders/>
            <w:vAlign w:val="center"/>
          </w:tcPr>
          <w:p>
            <w:pPr>
              <w:pStyle w:val="MDPI42tablebody"/>
              <w:jc w:val="center"/>
            </w:pPr>
            <w:r>
              <w:rPr>
                <w:sz w:val="16"/>
                <w:szCs w:val="16"/>
              </w:rPr>
              <w:t xml:space="preserve">+1.43</w:t>
            </w:r>
          </w:p>
        </w:tc>
        <w:tc>
          <w:tcPr>
            <w:tcW w:w="984" w:type="dxa"/>
            <w:tcBorders/>
            <w:vAlign w:val="center"/>
          </w:tcPr>
          <w:p>
            <w:pPr>
              <w:pStyle w:val="MDPI42tablebody"/>
              <w:jc w:val="center"/>
            </w:pPr>
            <w:r>
              <w:rPr>
                <w:sz w:val="16"/>
                <w:szCs w:val="16"/>
              </w:rPr>
              <w:t xml:space="preserve">+0.64</w:t>
            </w:r>
          </w:p>
        </w:tc>
        <w:tc>
          <w:tcPr>
            <w:tcW w:w="989" w:type="dxa"/>
            <w:tcBorders/>
            <w:vAlign w:val="center"/>
          </w:tcPr>
          <w:p>
            <w:pPr>
              <w:pStyle w:val="MDPI42tablebody"/>
              <w:jc w:val="center"/>
            </w:pPr>
            <w:r>
              <w:rPr>
                <w:sz w:val="16"/>
                <w:szCs w:val="16"/>
              </w:rPr>
              <w:t xml:space="preserve">+1.33</w:t>
            </w:r>
          </w:p>
        </w:tc>
      </w:tr>
      <w:tr>
        <w:trPr>
          <w:cantSplit/>
        </w:trPr>
        <w:tc>
          <w:tcPr>
            <w:tcW w:w="2589" w:type="dxa"/>
            <w:tcBorders/>
            <w:vAlign w:val="center"/>
          </w:tcPr>
          <w:p>
            <w:pPr>
              <w:pStyle w:val="MDPI42tablebody"/>
              <w:jc w:val="left"/>
            </w:pPr>
            <w:r>
              <w:rPr>
                <w:sz w:val="16"/>
                <w:szCs w:val="16"/>
              </w:rPr>
              <w:t xml:space="preserve">Llama-3.2-3B, Alphabet</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−0.28</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−0.21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−0.02</w:t>
            </w:r>
          </w:p>
        </w:tc>
      </w:tr>
      <w:tr>
        <w:trPr>
          <w:cantSplit/>
        </w:trPr>
        <w:tc>
          <w:tcPr>
            <w:tcW w:w="2589" w:type="dxa"/>
            <w:tcBorders/>
            <w:vAlign w:val="center"/>
          </w:tcPr>
          <w:p>
            <w:pPr>
              <w:pStyle w:val="MDPI42tablebody"/>
              <w:jc w:val="left"/>
            </w:pPr>
            <w:r>
              <w:rPr>
                <w:sz w:val="16"/>
                <w:szCs w:val="16"/>
              </w:rPr>
              <w:t xml:space="preserve">Llama-3.2-3B, Months</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−0.33</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−0.41</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+0.10</w:t>
            </w:r>
          </w:p>
        </w:tc>
        <w:tc>
          <w:tcPr>
            <w:tcW w:w="989" w:type="dxa"/>
            <w:tcBorders/>
            <w:vAlign w:val="center"/>
          </w:tcPr>
          <w:p>
            <w:pPr>
              <w:pStyle w:val="MDPI42tablebody"/>
              <w:jc w:val="center"/>
            </w:pPr>
            <w:r>
              <w:rPr>
                <w:sz w:val="16"/>
                <w:szCs w:val="16"/>
              </w:rPr>
              <w:t xml:space="preserve">−0.13</w:t>
            </w:r>
          </w:p>
        </w:tc>
      </w:tr>
      <w:tr>
        <w:trPr>
          <w:cantSplit/>
        </w:trPr>
        <w:tc>
          <w:tcPr>
            <w:tcW w:w="2589" w:type="dxa"/>
            <w:tcBorders/>
            <w:vAlign w:val="center"/>
          </w:tcPr>
          <w:p>
            <w:pPr>
              <w:pStyle w:val="MDPI42tablebody"/>
              <w:jc w:val="left"/>
            </w:pPr>
            <w:r>
              <w:rPr>
                <w:sz w:val="16"/>
                <w:szCs w:val="16"/>
              </w:rPr>
              <w:t xml:space="preserve">Llama-3.2-3B, Planets</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−0.14</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+0.01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+0.22</w:t>
            </w:r>
          </w:p>
        </w:tc>
        <w:tc>
          <w:tcPr>
            <w:tcW w:w="984" w:type="dxa"/>
            <w:tcBorders/>
            <w:vAlign w:val="center"/>
          </w:tcPr>
          <w:p>
            <w:pPr>
              <w:pStyle w:val="MDPI42tablebody"/>
              <w:jc w:val="center"/>
            </w:pPr>
            <w:r>
              <w:rPr>
                <w:sz w:val="16"/>
                <w:szCs w:val="16"/>
              </w:rPr>
              <w:t xml:space="preserve">+0.36</w:t>
            </w:r>
          </w:p>
        </w:tc>
        <w:tc>
          <w:tcPr>
            <w:tcW w:w="989" w:type="dxa"/>
            <w:tcBorders/>
            <w:vAlign w:val="center"/>
          </w:tcPr>
          <w:p>
            <w:pPr>
              <w:pStyle w:val="MDPI42tablebody"/>
              <w:jc w:val="center"/>
            </w:pPr>
            <w:r>
              <w:rPr>
                <w:sz w:val="16"/>
                <w:szCs w:val="16"/>
              </w:rPr>
              <w:t xml:space="preserve">+0.16</w:t>
            </w:r>
          </w:p>
        </w:tc>
      </w:tr>
      <w:tr>
        <w:trPr>
          <w:cantSplit/>
        </w:trPr>
        <w:tc>
          <w:tcPr>
            <w:tcW w:w="2589" w:type="dxa"/>
            <w:tcBorders>
              <w:bottom w:val="single" w:sz="8" w:space="0" w:color="000000"/>
            </w:tcBorders>
            <w:vAlign w:val="center"/>
          </w:tcPr>
          <w:p>
            <w:pPr>
              <w:pStyle w:val="MDPI42tablebody"/>
              <w:jc w:val="left"/>
            </w:pPr>
            <w:r>
              <w:rPr>
                <w:sz w:val="16"/>
                <w:szCs w:val="16"/>
              </w:rPr>
              <w:t xml:space="preserve">Llama-3.2-3B, Number words</w:t>
            </w:r>
          </w:p>
        </w:tc>
        <w:tc>
          <w:tcPr>
            <w:tcW w:w="984" w:type="dxa"/>
            <w:tcBorders>
              <w:bottom w:val="single" w:sz="8" w:space="0" w:color="000000"/>
            </w:tcBorders>
            <w:vAlign w:val="center"/>
          </w:tcPr>
          <w:p>
            <w:pPr>
              <w:pStyle w:val="MDPI42tablebody"/>
              <w:jc w:val="center"/>
            </w:pPr>
            <w:r>
              <w:rPr>
                <w:sz w:val="16"/>
                <w:szCs w:val="16"/>
              </w:rPr>
              <w:t xml:space="preserve">−0.06</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+0.25</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+0.50</w:t>
            </w:r>
          </w:p>
        </w:tc>
        <w:tc>
          <w:tcPr>
            <w:tcW w:w="989" w:type="dxa"/>
            <w:tcBorders>
              <w:bottom w:val="single" w:sz="8" w:space="0" w:color="000000"/>
            </w:tcBorders>
            <w:vAlign w:val="center"/>
          </w:tcPr>
          <w:p>
            <w:pPr>
              <w:pStyle w:val="MDPI42tablebody"/>
              <w:jc w:val="center"/>
            </w:pPr>
            <w:r>
              <w:rPr>
                <w:sz w:val="16"/>
                <w:szCs w:val="16"/>
              </w:rPr>
              <w:t xml:space="preserve">+0.29</w:t>
            </w:r>
          </w:p>
        </w:tc>
      </w:tr>
    </w:tbl>
    <w:p>
      <w:pPr>
        <w:pStyle w:val="MDPI43tablefooter"/>
        <w:ind w:left="0"/>
      </w:pPr>
      <w:r>
        <w:rPr/>
        <w:t xml:space="preserve">n.i. = not identified because the clean or the distorted cell has a saturated reference. A clean cell with a value near zero is the calibration check described in Section 3.3.</w:t>
      </w:r>
    </w:p>
    <w:p>
      <w:pPr>
        <w:pStyle w:val="MDPI22heading2"/>
        <w:keepNext/>
      </w:pPr>
      <w:r>
        <w:rPr/>
        <w:t xml:space="preserve">5.6. Comparison with Entropy, Calibration and Semantic Entropy</w:t>
      </w:r>
    </w:p>
    <w:p>
      <w:pPr>
        <w:pStyle w:val="MDPI31text"/>
      </w:pPr>
      <w:r>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T</w:t>
      </w:r>
      <w:r>
        <w:rPr>
          <w:vertAlign w:val="subscript"/>
        </w:rPr>
        <w:t xml:space="preserve">eff</w:t>
      </w:r>
      <w:r>
        <w:rPr/>
        <w:t xml:space="preserve"> in 6 of 15. The order is similar for the combined condition. T</w:t>
      </w:r>
      <w:r>
        <w:rPr>
          <w:vertAlign w:val="subscript"/>
        </w:rPr>
        <w:t xml:space="preserve">eff</w:t>
      </w:r>
      <w:r>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pStyle w:val="MDPI41tablecaption"/>
        <w:keepNext/>
      </w:pPr>
      <w:r>
        <w:rPr>
          <w:b/>
        </w:rPr>
        <w:t xml:space="preserve">Table 8.</w:t>
      </w:r>
      <w:r>
        <w:rPr/>
        <w:t xml:space="preserve"> Matched cells flagged by each indicator (either direction), out of the cells for which the indicator is defined.</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466"/>
        <w:gridCol w:w="1333"/>
        <w:gridCol w:w="1333"/>
        <w:gridCol w:w="1333"/>
        <w:gridCol w:w="1333"/>
        <w:gridCol w:w="1333"/>
        <w:gridCol w:w="1335"/>
      </w:tblGrid>
      <w:tr>
        <w:trPr>
          <w:cantSplit/>
          <w:tblHeader/>
        </w:trPr>
        <w:tc>
          <w:tcPr>
            <w:tcW w:w="2466" w:type="dxa"/>
            <w:tcBorders>
              <w:top w:val="single" w:sz="8" w:space="0" w:color="000000"/>
              <w:bottom w:val="single" w:sz="4" w:space="0" w:color="000000"/>
            </w:tcBorders>
            <w:vAlign w:val="center"/>
          </w:tcPr>
          <w:p>
            <w:pPr>
              <w:pStyle w:val="MDPI42tablebody"/>
              <w:jc w:val="left"/>
            </w:pPr>
            <w:r>
              <w:rPr>
                <w:b/>
                <w:sz w:val="18"/>
                <w:szCs w:val="18"/>
              </w:rPr>
              <w:t xml:space="preserve">Indicator</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Cont.</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Both</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Cont.</w:t>
            </w:r>
          </w:p>
        </w:tc>
        <w:tc>
          <w:tcPr>
            <w:tcW w:w="1335" w:type="dxa"/>
            <w:tcBorders>
              <w:top w:val="single" w:sz="8" w:space="0" w:color="000000"/>
              <w:bottom w:val="single" w:sz="4" w:space="0" w:color="000000"/>
            </w:tcBorders>
            <w:vAlign w:val="center"/>
          </w:tcPr>
          <w:p>
            <w:pPr>
              <w:pStyle w:val="MDPI42tablebody"/>
              <w:jc w:val="center"/>
            </w:pPr>
            <w:r>
              <w:rPr>
                <w:b/>
                <w:sz w:val="18"/>
                <w:szCs w:val="18"/>
              </w:rPr>
              <w:t xml:space="preserve">Llama Both</w:t>
            </w:r>
          </w:p>
        </w:tc>
      </w:tr>
      <w:tr>
        <w:trPr>
          <w:cantSplit/>
        </w:trPr>
        <w:tc>
          <w:tcPr>
            <w:tcW w:w="2466" w:type="dxa"/>
            <w:tcBorders/>
            <w:vAlign w:val="center"/>
          </w:tcPr>
          <w:p>
            <w:pPr>
              <w:pStyle w:val="MDPI42tablebody"/>
              <w:jc w:val="left"/>
            </w:pPr>
            <w:r>
              <w:rPr>
                <w:sz w:val="18"/>
                <w:szCs w:val="18"/>
              </w:rPr>
              <w:t xml:space="preserve">Token entropy</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5" w:type="dxa"/>
            <w:tcBorders/>
            <w:vAlign w:val="center"/>
          </w:tcPr>
          <w:p>
            <w:pPr>
              <w:pStyle w:val="MDPI42tablebody"/>
              <w:jc w:val="center"/>
            </w:pPr>
            <w:r>
              <w:rPr>
                <w:sz w:val="18"/>
                <w:szCs w:val="18"/>
              </w:rPr>
              <w:t xml:space="preserve">5/8</w:t>
            </w:r>
          </w:p>
        </w:tc>
      </w:tr>
      <w:tr>
        <w:trPr>
          <w:cantSplit/>
        </w:trPr>
        <w:tc>
          <w:tcPr>
            <w:tcW w:w="2466" w:type="dxa"/>
            <w:tcBorders/>
            <w:vAlign w:val="center"/>
          </w:tcPr>
          <w:p>
            <w:pPr>
              <w:pStyle w:val="MDPI42tablebody"/>
              <w:jc w:val="left"/>
            </w:pPr>
            <w:r>
              <w:rPr>
                <w:sz w:val="18"/>
                <w:szCs w:val="18"/>
              </w:rPr>
              <w:t xml:space="preserve">Confidence</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6/8</w:t>
            </w:r>
          </w:p>
        </w:tc>
      </w:tr>
      <w:tr>
        <w:trPr>
          <w:cantSplit/>
        </w:trPr>
        <w:tc>
          <w:tcPr>
            <w:tcW w:w="2466" w:type="dxa"/>
            <w:tcBorders/>
            <w:vAlign w:val="center"/>
          </w:tcPr>
          <w:p>
            <w:pPr>
              <w:pStyle w:val="MDPI42tablebody"/>
              <w:jc w:val="left"/>
            </w:pPr>
            <w:r>
              <w:rPr>
                <w:sz w:val="18"/>
                <w:szCs w:val="18"/>
              </w:rPr>
              <w:t xml:space="preserve">ECE (needs labels)</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7/8</w:t>
            </w:r>
          </w:p>
        </w:tc>
        <w:tc>
          <w:tcPr>
            <w:tcW w:w="1333" w:type="dxa"/>
            <w:tcBorders/>
            <w:vAlign w:val="center"/>
          </w:tcPr>
          <w:p>
            <w:pPr>
              <w:pStyle w:val="MDPI42tablebody"/>
              <w:jc w:val="center"/>
            </w:pPr>
            <w:r>
              <w:rPr>
                <w:sz w:val="18"/>
                <w:szCs w:val="18"/>
              </w:rPr>
              <w:t xml:space="preserve">4/8</w:t>
            </w:r>
          </w:p>
        </w:tc>
        <w:tc>
          <w:tcPr>
            <w:tcW w:w="1335" w:type="dxa"/>
            <w:tcBorders/>
            <w:vAlign w:val="center"/>
          </w:tcPr>
          <w:p>
            <w:pPr>
              <w:pStyle w:val="MDPI42tablebody"/>
              <w:jc w:val="center"/>
            </w:pPr>
            <w:r>
              <w:rPr>
                <w:sz w:val="18"/>
                <w:szCs w:val="18"/>
              </w:rPr>
              <w:t xml:space="preserve">8/8</w:t>
            </w:r>
          </w:p>
        </w:tc>
      </w:tr>
      <w:tr>
        <w:trPr>
          <w:cantSplit/>
        </w:trPr>
        <w:tc>
          <w:tcPr>
            <w:tcW w:w="2466" w:type="dxa"/>
            <w:tcBorders/>
            <w:vAlign w:val="center"/>
          </w:tcPr>
          <w:p>
            <w:pPr>
              <w:pStyle w:val="MDPI42tablebody"/>
              <w:jc w:val="left"/>
            </w:pPr>
            <w:r>
              <w:rPr>
                <w:sz w:val="18"/>
                <w:szCs w:val="18"/>
              </w:rPr>
              <w:t xml:space="preserve">Semantic entropy</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1/8</w:t>
            </w:r>
          </w:p>
        </w:tc>
      </w:tr>
      <w:tr>
        <w:trPr>
          <w:cantSplit/>
        </w:trPr>
        <w:tc>
          <w:tcPr>
            <w:tcW w:w="2466" w:type="dxa"/>
            <w:tcBorders>
              <w:bottom w:val="single" w:sz="8" w:space="0" w:color="000000"/>
            </w:tcBorders>
            <w:vAlign w:val="center"/>
          </w:tcPr>
          <w:p>
            <w:pPr>
              <w:pStyle w:val="MDPI42tablebody"/>
              <w:jc w:val="left"/>
            </w:pPr>
            <w:r>
              <w:rPr>
                <w:sz w:val="18"/>
                <w:szCs w:val="18"/>
              </w:rPr>
              <w:t xml:space="preserve">T</w:t>
            </w:r>
            <w:r>
              <w:rPr>
                <w:sz w:val="18"/>
                <w:szCs w:val="18"/>
                <w:vertAlign w:val="subscript"/>
              </w:rPr>
              <w:t xml:space="preserve">eff</w:t>
            </w:r>
          </w:p>
        </w:tc>
        <w:tc>
          <w:tcPr>
            <w:tcW w:w="1333" w:type="dxa"/>
            <w:tcBorders>
              <w:bottom w:val="single" w:sz="8" w:space="0" w:color="000000"/>
            </w:tcBorders>
            <w:vAlign w:val="center"/>
          </w:tcPr>
          <w:p>
            <w:pPr>
              <w:pStyle w:val="MDPI42tablebody"/>
              <w:jc w:val="center"/>
            </w:pPr>
            <w:r>
              <w:rPr>
                <w:sz w:val="18"/>
                <w:szCs w:val="18"/>
              </w:rPr>
              <w:t xml:space="preserve">5/7</w:t>
            </w:r>
          </w:p>
        </w:tc>
        <w:tc>
          <w:tcPr>
            <w:tcW w:w="1333" w:type="dxa"/>
            <w:tcBorders>
              <w:bottom w:val="single" w:sz="8" w:space="0" w:color="000000"/>
            </w:tcBorders>
            <w:vAlign w:val="center"/>
          </w:tcPr>
          <w:p>
            <w:pPr>
              <w:pStyle w:val="MDPI42tablebody"/>
              <w:jc w:val="center"/>
            </w:pPr>
            <w:r>
              <w:rPr>
                <w:sz w:val="18"/>
                <w:szCs w:val="18"/>
              </w:rPr>
              <w:t xml:space="preserve">2/6</w:t>
            </w:r>
          </w:p>
        </w:tc>
        <w:tc>
          <w:tcPr>
            <w:tcW w:w="1333" w:type="dxa"/>
            <w:tcBorders>
              <w:bottom w:val="single" w:sz="8" w:space="0" w:color="000000"/>
            </w:tcBorders>
            <w:vAlign w:val="center"/>
          </w:tcPr>
          <w:p>
            <w:pPr>
              <w:pStyle w:val="MDPI42tablebody"/>
              <w:jc w:val="center"/>
            </w:pPr>
            <w:r>
              <w:rPr>
                <w:sz w:val="18"/>
                <w:szCs w:val="18"/>
              </w:rPr>
              <w:t xml:space="preserve">5/8</w:t>
            </w:r>
          </w:p>
        </w:tc>
        <w:tc>
          <w:tcPr>
            <w:tcW w:w="1333" w:type="dxa"/>
            <w:tcBorders>
              <w:bottom w:val="single" w:sz="8" w:space="0" w:color="000000"/>
            </w:tcBorders>
            <w:vAlign w:val="center"/>
          </w:tcPr>
          <w:p>
            <w:pPr>
              <w:pStyle w:val="MDPI42tablebody"/>
              <w:jc w:val="center"/>
            </w:pPr>
            <w:r>
              <w:rPr>
                <w:sz w:val="18"/>
                <w:szCs w:val="18"/>
              </w:rPr>
              <w:t xml:space="preserve">1/8</w:t>
            </w:r>
          </w:p>
        </w:tc>
        <w:tc>
          <w:tcPr>
            <w:tcW w:w="1333" w:type="dxa"/>
            <w:tcBorders>
              <w:bottom w:val="single" w:sz="8" w:space="0" w:color="000000"/>
            </w:tcBorders>
            <w:vAlign w:val="center"/>
          </w:tcPr>
          <w:p>
            <w:pPr>
              <w:pStyle w:val="MDPI42tablebody"/>
              <w:jc w:val="center"/>
            </w:pPr>
            <w:r>
              <w:rPr>
                <w:sz w:val="18"/>
                <w:szCs w:val="18"/>
              </w:rPr>
              <w:t xml:space="preserve">0/8</w:t>
            </w:r>
          </w:p>
        </w:tc>
        <w:tc>
          <w:tcPr>
            <w:tcW w:w="1335" w:type="dxa"/>
            <w:tcBorders>
              <w:bottom w:val="single" w:sz="8" w:space="0" w:color="000000"/>
            </w:tcBorders>
            <w:vAlign w:val="center"/>
          </w:tcPr>
          <w:p>
            <w:pPr>
              <w:pStyle w:val="MDPI42tablebody"/>
              <w:jc w:val="center"/>
            </w:pPr>
            <w:r>
              <w:rPr>
                <w:sz w:val="18"/>
                <w:szCs w:val="18"/>
              </w:rPr>
              <w:t xml:space="preserve">1/8</w:t>
            </w:r>
          </w:p>
        </w:tc>
      </w:tr>
    </w:tbl>
    <w:p>
      <w:pPr>
        <w:pStyle w:val="MDPI31text"/>
        <w:spacing w:before="0" w:after="0" w:line="120" w:lineRule="exact"/>
      </w:pPr>
    </w:p>
    <w:p>
      <w:pPr>
        <w:pStyle w:val="MDPI52figure"/>
        <w:keepNext/>
        <w:ind w:left="0"/>
        <w:jc w:val="center"/>
      </w:pPr>
      <w:r>
        <w:drawing>
          <wp:inline distT="0" distB="0" distL="0" distR="0">
            <wp:extent cx="6477000" cy="2590800"/>
            <wp:effectExtent l="0" t="0" r="0" b="0"/>
            <wp:docPr id="2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3.png"/>
                    <pic:cNvPicPr>
                      <a:picLocks noChangeAspect="1"/>
                    </pic:cNvPicPr>
                  </pic:nvPicPr>
                  <pic:blipFill>
                    <a:blip r:embed="rId203"/>
                    <a:stretch>
                      <a:fillRect/>
                    </a:stretch>
                  </pic:blipFill>
                  <pic:spPr>
                    <a:xfrm>
                      <a:off x="0" y="0"/>
                      <a:ext cx="6477000" cy="2590800"/>
                    </a:xfrm>
                    <a:prstGeom prst="rect">
                      <a:avLst/>
                    </a:prstGeom>
                  </pic:spPr>
                </pic:pic>
              </a:graphicData>
            </a:graphic>
          </wp:inline>
        </w:drawing>
      </w:r>
    </w:p>
    <w:p>
      <w:pPr>
        <w:pStyle w:val="MDPI51figurecaption"/>
      </w:pPr>
      <w:r>
        <w:rPr>
          <w:b/>
        </w:rPr>
        <w:t xml:space="preserve">Figure 3.</w:t>
      </w:r>
      <w:r>
        <w:rPr/>
        <w:t xml:space="preserve"> Share of matched cells in which each indicator flags the distorted condition (either direction). *ECE requires ground-truth labels. Eight matched cells per condition and model (T</w:t>
      </w:r>
      <w:r>
        <w:rPr>
          <w:vertAlign w:val="subscript"/>
        </w:rPr>
        <w:t xml:space="preserve">eff</w:t>
      </w:r>
      <w:r>
        <w:rPr/>
        <w:t xml:space="preserve">: fewer where not identified).</w:t>
      </w:r>
    </w:p>
    <w:p>
      <w:pPr>
        <w:pStyle w:val="MDPI31text"/>
      </w:pPr>
      <w:r>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T</w:t>
      </w:r>
      <w:r>
        <w:rPr>
          <w:vertAlign w:val="subscript"/>
        </w:rPr>
        <w:t xml:space="preserve">eff</w:t>
      </w:r>
      <w:r>
        <w:rPr/>
        <w:t xml:space="preserve">, which rests on only six choices. The ranking depends on the margins. If every margin is halved, the pooled counts for pressure are 14/16 for ECE, 12/16 for entropy, 11/16 for confidence, 8/16 for semantic entropy and 8/15 for T</w:t>
      </w:r>
      <w:r>
        <w:rPr>
          <w:vertAlign w:val="subscript"/>
        </w:rPr>
        <w:t xml:space="preserve">eff</w:t>
      </w:r>
      <w:r>
        <w:rPr/>
        <w:t xml:space="preserve">. If they are doubled, the counts fall to 6, 5, 7, 4 and 4, and the indicators are no longer clearly ordered.</w:t>
      </w:r>
    </w:p>
    <w:p>
      <w:pPr>
        <w:pStyle w:val="MDPI41tablecaption"/>
        <w:keepNext/>
      </w:pPr>
      <w:r>
        <w:rPr>
          <w:b/>
        </w:rPr>
        <w:t xml:space="preserve">Table 9.</w:t>
      </w:r>
      <w:r>
        <w:rPr/>
        <w:t xml:space="preserve"> Fully locked-in cells (sticky attractor, clean prompt, </w:t>
      </w:r>
      <w:r>
        <w:rPr>
          <w:i/>
        </w:rPr>
        <w:t xml:space="preserve">T</w:t>
      </w:r>
      <w:r>
        <w:rPr/>
        <w:t xml:space="preserve"> = 0.15): every label-free indicator reports a healthy agent.</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3107"/>
        <w:gridCol w:w="1051"/>
        <w:gridCol w:w="1051"/>
        <w:gridCol w:w="1051"/>
        <w:gridCol w:w="1051"/>
        <w:gridCol w:w="1051"/>
        <w:gridCol w:w="1051"/>
        <w:gridCol w:w="1053"/>
      </w:tblGrid>
      <w:tr>
        <w:trPr>
          <w:cantSplit/>
          <w:tblHeader/>
        </w:trPr>
        <w:tc>
          <w:tcPr>
            <w:tcW w:w="3107" w:type="dxa"/>
            <w:tcBorders>
              <w:top w:val="single" w:sz="8" w:space="0" w:color="000000"/>
              <w:bottom w:val="single" w:sz="4" w:space="0" w:color="000000"/>
            </w:tcBorders>
            <w:vAlign w:val="center"/>
          </w:tcPr>
          <w:p>
            <w:pPr>
              <w:pStyle w:val="MDPI42tablebody"/>
              <w:jc w:val="left"/>
            </w:pPr>
            <w:r>
              <w:rPr>
                <w:b/>
                <w:sz w:val="18"/>
                <w:szCs w:val="18"/>
              </w:rPr>
              <w:t xml:space="preserve">Cell</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Lock-in</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Confid.</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Sem. Ent.</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ECE</w:t>
            </w:r>
          </w:p>
        </w:tc>
        <w:tc>
          <w:tcPr>
            <w:tcW w:w="105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3107" w:type="dxa"/>
            <w:tcBorders/>
            <w:vAlign w:val="center"/>
          </w:tcPr>
          <w:p>
            <w:pPr>
              <w:pStyle w:val="MDPI42tablebody"/>
              <w:jc w:val="left"/>
            </w:pPr>
            <w:r>
              <w:rPr>
                <w:sz w:val="18"/>
                <w:szCs w:val="18"/>
              </w:rPr>
              <w:t xml:space="preserve">Qwen2.5-3B, Alphabet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Months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Planets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Number words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Llama-3.2-3B, Alphabet (</w:t>
            </w:r>
            <w:r>
              <w:rPr>
                <w:i/>
                <w:sz w:val="18"/>
                <w:szCs w:val="18"/>
              </w:rPr>
              <w:t xml:space="preserve">m</w:t>
            </w:r>
            <w:r>
              <w:rPr>
                <w:sz w:val="18"/>
                <w:szCs w:val="18"/>
              </w:rPr>
              <w:t xml:space="preserve"> = 48)</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bottom w:val="single" w:sz="8" w:space="0" w:color="000000"/>
            </w:tcBorders>
            <w:vAlign w:val="center"/>
          </w:tcPr>
          <w:p>
            <w:pPr>
              <w:pStyle w:val="MDPI42tablebody"/>
              <w:jc w:val="left"/>
            </w:pPr>
            <w:r>
              <w:rPr>
                <w:sz w:val="18"/>
                <w:szCs w:val="18"/>
              </w:rPr>
              <w:t xml:space="preserve">Llama-3.2-3B, Months (</w:t>
            </w:r>
            <w:r>
              <w:rPr>
                <w:i/>
                <w:sz w:val="18"/>
                <w:szCs w:val="18"/>
              </w:rPr>
              <w:t xml:space="preserve">m</w:t>
            </w:r>
            <w:r>
              <w:rPr>
                <w:sz w:val="18"/>
                <w:szCs w:val="18"/>
              </w:rPr>
              <w:t xml:space="preserve"> = 6)</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3" w:type="dxa"/>
            <w:tcBorders>
              <w:bottom w:val="single" w:sz="8" w:space="0" w:color="000000"/>
            </w:tcBorders>
            <w:vAlign w:val="center"/>
          </w:tcPr>
          <w:p>
            <w:pPr>
              <w:pStyle w:val="MDPI42tablebody"/>
              <w:jc w:val="center"/>
            </w:pPr>
            <w:r>
              <w:rPr>
                <w:sz w:val="18"/>
                <w:szCs w:val="18"/>
              </w:rPr>
              <w:t xml:space="preserve">n.i.</w:t>
            </w:r>
          </w:p>
        </w:tc>
      </w:tr>
    </w:tbl>
    <w:p>
      <w:pPr>
        <w:pStyle w:val="MDPI31text"/>
        <w:spacing w:before="0" w:after="0" w:line="120" w:lineRule="exact"/>
      </w:pPr>
    </w:p>
    <w:p>
      <w:pPr>
        <w:pStyle w:val="MDPI31text"/>
      </w:pPr>
      <w:r>
        <w:rPr/>
        <w:t xml:space="preserve">The most important blind spot is the fully locked agent. In the 6 cells of Table 9 in which the planted letter was repeated at every step, the accuracy is zero while entropy is zero, confidence is one and semantic entropy is zero. T</w:t>
      </w:r>
      <w:r>
        <w:rPr>
          <w:vertAlign w:val="subscript"/>
        </w:rPr>
        <w:t xml:space="preserve">eff</w:t>
      </w:r>
      <w:r>
        <w:rPr/>
        <w:t xml:space="preserve"> is not identified, because the reference puts all its mass on the chosen item. Only ECE, which uses labels, reports a problem. This is the situation that motivated the study. It also shows that T</w:t>
      </w:r>
      <w:r>
        <w:rPr>
          <w:vertAlign w:val="subscript"/>
        </w:rPr>
        <w:t xml:space="preserve">eff</w:t>
      </w:r>
      <w:r>
        <w:rPr/>
        <w:t xml:space="preserve"> by itself cannot repair the gap. A reference-based indicator is blind to a failure that the reference shares, and in a locked trajectory the clean-context reference is itself captured by the repeated history.</w:t>
      </w:r>
    </w:p>
    <w:p>
      <w:pPr>
        <w:pStyle w:val="MDPI22heading2"/>
        <w:keepNext/>
      </w:pPr>
      <w:r>
        <w:rPr/>
        <w:t xml:space="preserve">5.7. Summary of the Hypotheses</w:t>
      </w:r>
    </w:p>
    <w:p>
      <w:pPr>
        <w:pStyle w:val="MDPI41tablecaption"/>
        <w:keepNext/>
      </w:pPr>
      <w:r>
        <w:rPr>
          <w:b/>
        </w:rPr>
        <w:t xml:space="preserve">Table 10.</w:t>
      </w:r>
      <w:r>
        <w:rPr/>
        <w:t xml:space="preserve"> Support for the hypotheses.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3"/>
        <w:gridCol w:w="3286"/>
        <w:gridCol w:w="3589"/>
        <w:gridCol w:w="1438"/>
      </w:tblGrid>
      <w:tr>
        <w:trPr>
          <w:cantSplit/>
          <w:tblHeader/>
        </w:trPr>
        <w:tc>
          <w:tcPr>
            <w:tcW w:w="2153" w:type="dxa"/>
            <w:tcBorders>
              <w:top w:val="single" w:sz="8" w:space="0" w:color="000000"/>
              <w:bottom w:val="single" w:sz="4" w:space="0" w:color="000000"/>
            </w:tcBorders>
            <w:vAlign w:val="center"/>
          </w:tcPr>
          <w:p>
            <w:pPr>
              <w:pStyle w:val="MDPI42tablebody"/>
              <w:jc w:val="left"/>
            </w:pPr>
            <w:r>
              <w:rPr>
                <w:b/>
                <w:sz w:val="18"/>
                <w:szCs w:val="18"/>
              </w:rPr>
              <w:t xml:space="preserve">Hypothesis</w:t>
            </w:r>
          </w:p>
        </w:tc>
        <w:tc>
          <w:tcPr>
            <w:tcW w:w="3286" w:type="dxa"/>
            <w:tcBorders>
              <w:top w:val="single" w:sz="8" w:space="0" w:color="000000"/>
              <w:bottom w:val="single" w:sz="4" w:space="0" w:color="000000"/>
            </w:tcBorders>
            <w:vAlign w:val="center"/>
          </w:tcPr>
          <w:p>
            <w:pPr>
              <w:pStyle w:val="MDPI42tablebody"/>
              <w:jc w:val="left"/>
            </w:pPr>
            <w:r>
              <w:rPr>
                <w:b/>
                <w:sz w:val="18"/>
                <w:szCs w:val="18"/>
              </w:rPr>
              <w:t xml:space="preserve">Evidence in Favour</w:t>
            </w:r>
          </w:p>
        </w:tc>
        <w:tc>
          <w:tcPr>
            <w:tcW w:w="3589" w:type="dxa"/>
            <w:tcBorders>
              <w:top w:val="single" w:sz="8" w:space="0" w:color="000000"/>
              <w:bottom w:val="single" w:sz="4" w:space="0" w:color="000000"/>
            </w:tcBorders>
            <w:vAlign w:val="center"/>
          </w:tcPr>
          <w:p>
            <w:pPr>
              <w:pStyle w:val="MDPI42tablebody"/>
              <w:jc w:val="left"/>
            </w:pPr>
            <w:r>
              <w:rPr>
                <w:b/>
                <w:sz w:val="18"/>
                <w:szCs w:val="18"/>
              </w:rPr>
              <w:t xml:space="preserve">Evidence Against or Limits</w:t>
            </w:r>
          </w:p>
        </w:tc>
        <w:tc>
          <w:tcPr>
            <w:tcW w:w="1438" w:type="dxa"/>
            <w:tcBorders>
              <w:top w:val="single" w:sz="8" w:space="0" w:color="000000"/>
              <w:bottom w:val="single" w:sz="4" w:space="0" w:color="000000"/>
            </w:tcBorders>
            <w:vAlign w:val="center"/>
          </w:tcPr>
          <w:p>
            <w:pPr>
              <w:pStyle w:val="MDPI42tablebody"/>
              <w:jc w:val="left"/>
            </w:pPr>
            <w:r>
              <w:rPr>
                <w:b/>
                <w:sz w:val="18"/>
                <w:szCs w:val="18"/>
              </w:rPr>
              <w:t xml:space="preserve">Verdict</w:t>
            </w:r>
          </w:p>
        </w:tc>
      </w:tr>
      <w:tr>
        <w:trPr>
          <w:cantSplit/>
        </w:trPr>
        <w:tc>
          <w:tcPr>
            <w:tcW w:w="2153" w:type="dxa"/>
            <w:tcBorders/>
            <w:vAlign w:val="center"/>
          </w:tcPr>
          <w:p>
            <w:pPr>
              <w:pStyle w:val="MDPI42tablebody"/>
              <w:jc w:val="left"/>
            </w:pPr>
            <w:r>
              <w:rPr>
                <w:sz w:val="18"/>
                <w:szCs w:val="18"/>
              </w:rPr>
              <w:t xml:space="preserve">H1: pressure raises T</w:t>
            </w:r>
            <w:r>
              <w:rPr>
                <w:sz w:val="18"/>
                <w:szCs w:val="18"/>
                <w:vertAlign w:val="subscript"/>
              </w:rPr>
              <w:t xml:space="preserve">eff</w:t>
            </w:r>
          </w:p>
        </w:tc>
        <w:tc>
          <w:tcPr>
            <w:tcW w:w="3286" w:type="dxa"/>
            <w:tcBorders/>
            <w:vAlign w:val="center"/>
          </w:tcPr>
          <w:p>
            <w:pPr>
              <w:pStyle w:val="MDPI42tablebody"/>
              <w:jc w:val="left"/>
            </w:pPr>
            <w:r>
              <w:rPr>
                <w:sz w:val="18"/>
                <w:szCs w:val="18"/>
              </w:rPr>
              <w:t xml:space="preserve">Qwen2.5-3B in Stage D (5 of 7 cells); Qwen2.5-3B and 7B in Stage C; SmolLM2; synthetic agent</w:t>
            </w:r>
          </w:p>
        </w:tc>
        <w:tc>
          <w:tcPr>
            <w:tcW w:w="3589" w:type="dxa"/>
            <w:tcBorders/>
            <w:vAlign w:val="center"/>
          </w:tcPr>
          <w:p>
            <w:pPr>
              <w:pStyle w:val="MDPI42tablebody"/>
              <w:jc w:val="left"/>
            </w:pPr>
            <w:r>
              <w:rPr>
                <w:sz w:val="18"/>
                <w:szCs w:val="18"/>
              </w:rPr>
              <w:t xml:space="preserve">Llama-3.2-3B (1 of 8); planets task not identified; sign reversed for Llama at </w:t>
            </w:r>
            <w:r>
              <w:rPr>
                <w:i/>
                <w:sz w:val="18"/>
                <w:szCs w:val="18"/>
              </w:rPr>
              <w:t xml:space="preserve">T</w:t>
            </w:r>
            <w:r>
              <w:rPr>
                <w:sz w:val="18"/>
                <w:szCs w:val="18"/>
              </w:rPr>
              <w:t xml:space="preserve"> = 0.8</w:t>
            </w:r>
          </w:p>
        </w:tc>
        <w:tc>
          <w:tcPr>
            <w:tcW w:w="1438" w:type="dxa"/>
            <w:tcBorders/>
            <w:vAlign w:val="center"/>
          </w:tcPr>
          <w:p>
            <w:pPr>
              <w:pStyle w:val="MDPI42tablebody"/>
              <w:jc w:val="left"/>
            </w:pPr>
            <w:r>
              <w:rPr>
                <w:sz w:val="18"/>
                <w:szCs w:val="18"/>
              </w:rPr>
              <w:t xml:space="preserve">Model-dependent</w:t>
            </w:r>
          </w:p>
        </w:tc>
      </w:tr>
      <w:tr>
        <w:trPr>
          <w:cantSplit/>
        </w:trPr>
        <w:tc>
          <w:tcPr>
            <w:tcW w:w="2153" w:type="dxa"/>
            <w:tcBorders/>
            <w:vAlign w:val="center"/>
          </w:tcPr>
          <w:p>
            <w:pPr>
              <w:pStyle w:val="MDPI42tablebody"/>
              <w:jc w:val="left"/>
            </w:pPr>
            <w:r>
              <w:rPr>
                <w:sz w:val="18"/>
                <w:szCs w:val="18"/>
              </w:rPr>
              <w:t xml:space="preserve">H2: interior peak only for intermediate attractors</w:t>
            </w:r>
          </w:p>
        </w:tc>
        <w:tc>
          <w:tcPr>
            <w:tcW w:w="3286" w:type="dxa"/>
            <w:tcBorders/>
            <w:vAlign w:val="center"/>
          </w:tcPr>
          <w:p>
            <w:pPr>
              <w:pStyle w:val="MDPI42tablebody"/>
              <w:jc w:val="left"/>
            </w:pPr>
            <w:r>
              <w:rPr>
                <w:sz w:val="18"/>
                <w:szCs w:val="18"/>
              </w:rPr>
              <w:t xml:space="preserve">Weak attractors decline in 7 of 8 curves; alphabet peaks at </w:t>
            </w:r>
            <w:r>
              <w:rPr>
                <w:i/>
                <w:sz w:val="18"/>
                <w:szCs w:val="18"/>
              </w:rPr>
              <w:t xml:space="preserve">T</w:t>
            </w:r>
            <w:r>
              <w:rPr>
                <w:sz w:val="18"/>
                <w:szCs w:val="18"/>
              </w:rPr>
              <w:t xml:space="preserve"> = 2 to 2.5 in all three larger models</w:t>
            </w:r>
          </w:p>
        </w:tc>
        <w:tc>
          <w:tcPr>
            <w:tcW w:w="3589" w:type="dxa"/>
            <w:tcBorders/>
            <w:vAlign w:val="center"/>
          </w:tcPr>
          <w:p>
            <w:pPr>
              <w:pStyle w:val="MDPI42tablebody"/>
              <w:jc w:val="left"/>
            </w:pPr>
            <w:r>
              <w:rPr>
                <w:sz w:val="18"/>
                <w:szCs w:val="18"/>
              </w:rPr>
              <w:t xml:space="preserve">Strong attractors also peak in 2 of 7 curves; peaks may lie beyond </w:t>
            </w:r>
            <w:r>
              <w:rPr>
                <w:i/>
                <w:sz w:val="18"/>
                <w:szCs w:val="18"/>
              </w:rPr>
              <w:t xml:space="preserve">T</w:t>
            </w:r>
            <w:r>
              <w:rPr>
                <w:sz w:val="18"/>
                <w:szCs w:val="18"/>
              </w:rPr>
              <w:t xml:space="preserve"> = 3; strict recovery low</w:t>
            </w:r>
          </w:p>
        </w:tc>
        <w:tc>
          <w:tcPr>
            <w:tcW w:w="1438" w:type="dxa"/>
            <w:tcBorders/>
            <w:vAlign w:val="center"/>
          </w:tcPr>
          <w:p>
            <w:pPr>
              <w:pStyle w:val="MDPI42tablebody"/>
              <w:jc w:val="left"/>
            </w:pPr>
            <w:r>
              <w:rPr>
                <w:sz w:val="18"/>
                <w:szCs w:val="18"/>
              </w:rPr>
              <w:t xml:space="preserve">Partly supported</w:t>
            </w:r>
          </w:p>
        </w:tc>
      </w:tr>
      <w:tr>
        <w:trPr>
          <w:cantSplit/>
        </w:trPr>
        <w:tc>
          <w:tcPr>
            <w:tcW w:w="2153" w:type="dxa"/>
            <w:tcBorders>
              <w:bottom w:val="single" w:sz="8" w:space="0" w:color="000000"/>
            </w:tcBorders>
            <w:vAlign w:val="center"/>
          </w:tcPr>
          <w:p>
            <w:pPr>
              <w:pStyle w:val="MDPI42tablebody"/>
              <w:jc w:val="left"/>
            </w:pPr>
            <w:r>
              <w:rPr>
                <w:sz w:val="18"/>
                <w:szCs w:val="18"/>
              </w:rPr>
              <w:t xml:space="preserve">H3: contamination strengthens pressure</w:t>
            </w:r>
          </w:p>
        </w:tc>
        <w:tc>
          <w:tcPr>
            <w:tcW w:w="3286" w:type="dxa"/>
            <w:tcBorders>
              <w:bottom w:val="single" w:sz="8" w:space="0" w:color="000000"/>
            </w:tcBorders>
            <w:vAlign w:val="center"/>
          </w:tcPr>
          <w:p>
            <w:pPr>
              <w:pStyle w:val="MDPI42tablebody"/>
              <w:jc w:val="left"/>
            </w:pPr>
            <w:r>
              <w:rPr>
                <w:sz w:val="18"/>
                <w:szCs w:val="18"/>
              </w:rPr>
              <w:t xml:space="preserve">Contamination alone raised T</w:t>
            </w:r>
            <w:r>
              <w:rPr>
                <w:sz w:val="18"/>
                <w:szCs w:val="18"/>
                <w:vertAlign w:val="subscript"/>
              </w:rPr>
              <w:t xml:space="preserve">eff</w:t>
            </w:r>
            <w:r>
              <w:rPr>
                <w:sz w:val="18"/>
                <w:szCs w:val="18"/>
              </w:rPr>
              <w:t xml:space="preserve"> on the number task for Qwen</w:t>
            </w:r>
          </w:p>
        </w:tc>
        <w:tc>
          <w:tcPr>
            <w:tcW w:w="3589" w:type="dxa"/>
            <w:tcBorders>
              <w:bottom w:val="single" w:sz="8" w:space="0" w:color="000000"/>
            </w:tcBorders>
            <w:vAlign w:val="center"/>
          </w:tcPr>
          <w:p>
            <w:pPr>
              <w:pStyle w:val="MDPI42tablebody"/>
              <w:jc w:val="left"/>
            </w:pPr>
            <w:r>
              <w:rPr>
                <w:sz w:val="18"/>
                <w:szCs w:val="18"/>
              </w:rPr>
              <w:t xml:space="preserve">Mean added effect +0.01; none of 15 comparisons reached 0.5</w:t>
            </w:r>
          </w:p>
        </w:tc>
        <w:tc>
          <w:tcPr>
            <w:tcW w:w="1438" w:type="dxa"/>
            <w:tcBorders>
              <w:bottom w:val="single" w:sz="8" w:space="0" w:color="000000"/>
            </w:tcBorders>
            <w:vAlign w:val="center"/>
          </w:tcPr>
          <w:p>
            <w:pPr>
              <w:pStyle w:val="MDPI42tablebody"/>
              <w:jc w:val="left"/>
            </w:pPr>
            <w:r>
              <w:rPr>
                <w:sz w:val="18"/>
                <w:szCs w:val="18"/>
              </w:rPr>
              <w:t xml:space="preserve">Not supported</w:t>
            </w:r>
          </w:p>
        </w:tc>
      </w:tr>
    </w:tbl>
    <w:p>
      <w:pPr>
        <w:pStyle w:val="MDPI31text"/>
        <w:spacing w:before="0" w:after="0" w:line="120" w:lineRule="exact"/>
      </w:pPr>
    </w:p>
    <w:p>
      <w:pPr>
        <w:pStyle w:val="MDPI22heading2"/>
      </w:pPr>
      <w:r>
        <w:rPr/>
        <w:t>5.8. Revision Study: Further Models, Three Wordings and Dominant-Response Contamination</w:t>
      </w:r>
    </w:p>
    <w:p>
      <w:pPr>
        <w:pStyle w:val="MDPI31text"/>
      </w:pPr>
      <w:r>
        <w:rPr/>
        <w:t xml:space="preserve">Table 11 reports, for each additional model, how often a distortion raised </w:t>
      </w:r>
      <w:r>
        <w:rPr>
          <w:i/>
        </w:rPr>
        <w:t>T</w:t>
      </w:r>
      <w:r>
        <w:rPr/>
        <w:t>eff</w:t>
      </w:r>
      <w:r>
        <w:rPr/>
        <w:t xml:space="preserve"> above its clean value (by at least 0.5 and outside the clean-cell bootstrap interval) among the identified matched cells, and the mean shift of </w:t>
      </w:r>
      <w:r>
        <w:rPr>
          <w:i/>
        </w:rPr>
        <w:t>T</w:t>
      </w:r>
      <w:r>
        <w:rPr/>
        <w:t>eff</w:t>
      </w:r>
      <w:r>
        <w:rPr/>
        <w:t xml:space="preserve"> - </w:t>
      </w:r>
      <w:r>
        <w:rPr>
          <w:i/>
        </w:rPr>
        <w:t>T</w:t>
      </w:r>
      <w:r>
        <w:rPr/>
        <w:t xml:space="preserve">. The model dependence of Section 5.5 is reproduced, and the effect is weak. Pooled over the three pressure wordings, pressure raised </w:t>
      </w:r>
      <w:r>
        <w:rPr>
          <w:i/>
        </w:rPr>
        <w:t>T</w:t>
      </w:r>
      <w:r>
        <w:rPr/>
        <w:t>eff</w:t>
      </w:r>
      <w:r>
        <w:rPr/>
        <w:t xml:space="preserve"> in 14 of 74 identified cells, and contamination alone (C0 and C1) in 2 of 52. Qwen2.5-0.5B showed no increase with any wording, Qwen2.5-1.5B showed the largest (3 of 6 cells for P0 but 1 of 6 for P1), and the sign of the mean shift changed with the wording in Qwen2.5-0.5B. The single-wording result of Section 5.5 should therefore be read as a result for that wording. No cell of the revision study was lost to saturation at the 0.999 rule, and 290 of 296 cells passed the interval rule.</w:t>
      </w:r>
    </w:p>
    <w:p>
      <w:pPr>
        <w:pStyle w:val="MDPI41tablecaption"/>
      </w:pPr>
      <w:r>
        <w:rPr>
          <w:b/>
        </w:rPr>
        <w:t xml:space="preserve">Table 11. </w:t>
      </w:r>
      <w:r>
        <w:rPr/>
        <w:t xml:space="preserve"> Pressure (P0, P1, P2) and contamination (C0, C1, C2) wordings: identified matched cells in which </w:t>
      </w:r>
      <w:r>
        <w:rPr>
          <w:i/>
        </w:rPr>
        <w:t>T</w:t>
      </w:r>
      <w:r>
        <w:rPr/>
        <w:t>eff</w:t>
      </w:r>
      <w:r>
        <w:rPr/>
        <w:t xml:space="preserve"> was raised, out of identified cells (mean shift of </w:t>
      </w:r>
      <w:r>
        <w:rPr>
          <w:i/>
        </w:rPr>
        <w:t>T</w:t>
      </w:r>
      <w:r>
        <w:rPr/>
        <w:t>eff</w:t>
      </w:r>
      <w:r>
        <w:rPr/>
        <w:t xml:space="preserve"> - </w:t>
      </w:r>
      <w:r>
        <w:rPr>
          <w:i/>
        </w:rPr>
        <w:t>T</w:t>
      </w:r>
      <w:r>
        <w:rPr/>
        <w:t xml:space="preserve"> relative to the clean cell).</w:t>
      </w:r>
    </w:p>
    <w:tbl>
      <w:tblPr>
        <w:tblW w:w="10466" w:type="dxa"/>
        <w:tblInd w:w="0" w:type="dxa"/>
        <w:tblLayout w:type="fixed"/>
      </w:tblPr>
      <w:tblGrid>
        <w:gridCol w:w="2000"/>
        <w:gridCol w:w="1400"/>
        <w:gridCol w:w="1400"/>
        <w:gridCol w:w="1400"/>
        <w:gridCol w:w="1400"/>
        <w:gridCol w:w="1400"/>
        <w:gridCol w:w="14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sz w:val="16"/>
              </w:rPr>
              <w:t>Model</w:t>
            </w:r>
          </w:p>
        </w:tc>
        <w:tc>
          <w:tcPr>
            <w:tcW w:w="1400" w:type="dxa"/>
            <w:tcBorders>
              <w:top w:val="single" w:sz="8" w:space="0" w:color="000000"/>
              <w:bottom w:val="single" w:sz="4" w:space="0" w:color="000000"/>
            </w:tcBorders>
            <w:vAlign w:val="center"/>
          </w:tcPr>
          <w:p>
            <w:pPr>
              <w:pStyle w:val="MDPI42tablebody"/>
              <w:jc w:val="center"/>
            </w:pPr>
            <w:r>
              <w:rPr>
                <w:b/>
                <w:sz w:val="16"/>
              </w:rPr>
              <w:t>P0</w:t>
            </w:r>
          </w:p>
        </w:tc>
        <w:tc>
          <w:tcPr>
            <w:tcW w:w="1400" w:type="dxa"/>
            <w:tcBorders>
              <w:top w:val="single" w:sz="8" w:space="0" w:color="000000"/>
              <w:bottom w:val="single" w:sz="4" w:space="0" w:color="000000"/>
            </w:tcBorders>
            <w:vAlign w:val="center"/>
          </w:tcPr>
          <w:p>
            <w:pPr>
              <w:pStyle w:val="MDPI42tablebody"/>
              <w:jc w:val="center"/>
            </w:pPr>
            <w:r>
              <w:rPr>
                <w:b/>
                <w:sz w:val="16"/>
              </w:rPr>
              <w:t>P1</w:t>
            </w:r>
          </w:p>
        </w:tc>
        <w:tc>
          <w:tcPr>
            <w:tcW w:w="1400" w:type="dxa"/>
            <w:tcBorders>
              <w:top w:val="single" w:sz="8" w:space="0" w:color="000000"/>
              <w:bottom w:val="single" w:sz="4" w:space="0" w:color="000000"/>
            </w:tcBorders>
            <w:vAlign w:val="center"/>
          </w:tcPr>
          <w:p>
            <w:pPr>
              <w:pStyle w:val="MDPI42tablebody"/>
              <w:jc w:val="center"/>
            </w:pPr>
            <w:r>
              <w:rPr>
                <w:b/>
                <w:sz w:val="16"/>
              </w:rPr>
              <w:t>P2</w:t>
            </w:r>
          </w:p>
        </w:tc>
        <w:tc>
          <w:tcPr>
            <w:tcW w:w="1400" w:type="dxa"/>
            <w:tcBorders>
              <w:top w:val="single" w:sz="8" w:space="0" w:color="000000"/>
              <w:bottom w:val="single" w:sz="4" w:space="0" w:color="000000"/>
            </w:tcBorders>
            <w:vAlign w:val="center"/>
          </w:tcPr>
          <w:p>
            <w:pPr>
              <w:pStyle w:val="MDPI42tablebody"/>
              <w:jc w:val="center"/>
            </w:pPr>
            <w:r>
              <w:rPr>
                <w:b/>
                <w:sz w:val="16"/>
              </w:rPr>
              <w:t>C0</w:t>
            </w:r>
          </w:p>
        </w:tc>
        <w:tc>
          <w:tcPr>
            <w:tcW w:w="1400" w:type="dxa"/>
            <w:tcBorders>
              <w:top w:val="single" w:sz="8" w:space="0" w:color="000000"/>
              <w:bottom w:val="single" w:sz="4" w:space="0" w:color="000000"/>
            </w:tcBorders>
            <w:vAlign w:val="center"/>
          </w:tcPr>
          <w:p>
            <w:pPr>
              <w:pStyle w:val="MDPI42tablebody"/>
              <w:jc w:val="center"/>
            </w:pPr>
            <w:r>
              <w:rPr>
                <w:b/>
                <w:sz w:val="16"/>
              </w:rPr>
              <w:t>C1</w:t>
            </w:r>
          </w:p>
        </w:tc>
        <w:tc>
          <w:tcPr>
            <w:tcW w:w="1466" w:type="dxa"/>
            <w:tcBorders>
              <w:top w:val="single" w:sz="8" w:space="0" w:color="000000"/>
              <w:bottom w:val="single" w:sz="4" w:space="0" w:color="000000"/>
            </w:tcBorders>
            <w:vAlign w:val="center"/>
          </w:tcPr>
          <w:p>
            <w:pPr>
              <w:pStyle w:val="MDPI42tablebody"/>
              <w:jc w:val="center"/>
            </w:pPr>
            <w:r>
              <w:rPr>
                <w:b/>
                <w:sz w:val="16"/>
              </w:rPr>
              <w:t>C2 (dominant)</w:t>
            </w:r>
          </w:p>
        </w:tc>
      </w:tr>
      <w:tr>
        <w:trPr>
          <w:cantSplit/>
        </w:trPr>
        <w:tc>
          <w:tcPr>
            <w:tcW w:w="2000" w:type="dxa"/>
            <w:tcBorders/>
            <w:vAlign w:val="center"/>
          </w:tcPr>
          <w:p>
            <w:pPr>
              <w:pStyle w:val="MDPI42tablebody"/>
              <w:jc w:val="left"/>
            </w:pPr>
            <w:r>
              <w:rPr>
                <w:sz w:val="16"/>
              </w:rPr>
              <w:t>Qwen2.5-0.5B</w:t>
            </w:r>
          </w:p>
        </w:tc>
        <w:tc>
          <w:tcPr>
            <w:tcW w:w="1400" w:type="dxa"/>
            <w:tcBorders/>
            <w:vAlign w:val="center"/>
          </w:tcPr>
          <w:p>
            <w:pPr>
              <w:pStyle w:val="MDPI42tablebody"/>
              <w:jc w:val="center"/>
            </w:pPr>
            <w:r>
              <w:rPr>
                <w:sz w:val="16"/>
              </w:rPr>
              <w:t>0/8 (+0.05)</w:t>
            </w:r>
          </w:p>
        </w:tc>
        <w:tc>
          <w:tcPr>
            <w:tcW w:w="1400" w:type="dxa"/>
            <w:tcBorders/>
            <w:vAlign w:val="center"/>
          </w:tcPr>
          <w:p>
            <w:pPr>
              <w:pStyle w:val="MDPI42tablebody"/>
              <w:jc w:val="center"/>
            </w:pPr>
            <w:r>
              <w:rPr>
                <w:sz w:val="16"/>
              </w:rPr>
              <w:t>0/8 (-0.03)</w:t>
            </w:r>
          </w:p>
        </w:tc>
        <w:tc>
          <w:tcPr>
            <w:tcW w:w="1400" w:type="dxa"/>
            <w:tcBorders/>
            <w:vAlign w:val="center"/>
          </w:tcPr>
          <w:p>
            <w:pPr>
              <w:pStyle w:val="MDPI42tablebody"/>
              <w:jc w:val="center"/>
            </w:pPr>
            <w:r>
              <w:rPr>
                <w:sz w:val="16"/>
              </w:rPr>
              <w:t>0/8 (-0.08)</w:t>
            </w:r>
          </w:p>
        </w:tc>
        <w:tc>
          <w:tcPr>
            <w:tcW w:w="1400" w:type="dxa"/>
            <w:tcBorders/>
            <w:vAlign w:val="center"/>
          </w:tcPr>
          <w:p>
            <w:pPr>
              <w:pStyle w:val="MDPI42tablebody"/>
              <w:jc w:val="center"/>
            </w:pPr>
            <w:r>
              <w:rPr>
                <w:sz w:val="16"/>
              </w:rPr>
              <w:t>0/8 (-0.04)</w:t>
            </w:r>
          </w:p>
        </w:tc>
        <w:tc>
          <w:tcPr>
            <w:tcW w:w="1400" w:type="dxa"/>
            <w:tcBorders/>
            <w:vAlign w:val="center"/>
          </w:tcPr>
          <w:p>
            <w:pPr>
              <w:pStyle w:val="MDPI42tablebody"/>
              <w:jc w:val="center"/>
            </w:pPr>
            <w:r>
              <w:rPr>
                <w:sz w:val="16"/>
              </w:rPr>
              <w:t>0/8 (-0.07)</w:t>
            </w:r>
          </w:p>
        </w:tc>
        <w:tc>
          <w:tcPr>
            <w:tcW w:w="1466" w:type="dxa"/>
            <w:tcBorders/>
            <w:vAlign w:val="center"/>
          </w:tcPr>
          <w:p>
            <w:pPr>
              <w:pStyle w:val="MDPI42tablebody"/>
              <w:jc w:val="center"/>
            </w:pPr>
            <w:r>
              <w:rPr>
                <w:sz w:val="16"/>
              </w:rPr>
              <w:t>0/8 (-0.23)</w:t>
            </w:r>
          </w:p>
        </w:tc>
      </w:tr>
      <w:tr>
        <w:trPr>
          <w:cantSplit/>
        </w:trPr>
        <w:tc>
          <w:tcPr>
            <w:tcW w:w="2000" w:type="dxa"/>
            <w:tcBorders/>
            <w:vAlign w:val="center"/>
          </w:tcPr>
          <w:p>
            <w:pPr>
              <w:pStyle w:val="MDPI42tablebody"/>
              <w:jc w:val="left"/>
            </w:pPr>
            <w:r>
              <w:rPr>
                <w:sz w:val="16"/>
              </w:rPr>
              <w:t>Qwen2.5-1.5B</w:t>
            </w:r>
          </w:p>
        </w:tc>
        <w:tc>
          <w:tcPr>
            <w:tcW w:w="1400" w:type="dxa"/>
            <w:tcBorders/>
            <w:vAlign w:val="center"/>
          </w:tcPr>
          <w:p>
            <w:pPr>
              <w:pStyle w:val="MDPI42tablebody"/>
              <w:jc w:val="center"/>
            </w:pPr>
            <w:r>
              <w:rPr>
                <w:sz w:val="16"/>
              </w:rPr>
              <w:t>3/6 (+0.30)</w:t>
            </w:r>
          </w:p>
        </w:tc>
        <w:tc>
          <w:tcPr>
            <w:tcW w:w="1400" w:type="dxa"/>
            <w:tcBorders/>
            <w:vAlign w:val="center"/>
          </w:tcPr>
          <w:p>
            <w:pPr>
              <w:pStyle w:val="MDPI42tablebody"/>
              <w:jc w:val="center"/>
            </w:pPr>
            <w:r>
              <w:rPr>
                <w:sz w:val="16"/>
              </w:rPr>
              <w:t>1/6 (+0.09)</w:t>
            </w:r>
          </w:p>
        </w:tc>
        <w:tc>
          <w:tcPr>
            <w:tcW w:w="1400" w:type="dxa"/>
            <w:tcBorders/>
            <w:vAlign w:val="center"/>
          </w:tcPr>
          <w:p>
            <w:pPr>
              <w:pStyle w:val="MDPI42tablebody"/>
              <w:jc w:val="center"/>
            </w:pPr>
            <w:r>
              <w:rPr>
                <w:sz w:val="16"/>
              </w:rPr>
              <w:t>2/6 (+0.05)</w:t>
            </w:r>
          </w:p>
        </w:tc>
        <w:tc>
          <w:tcPr>
            <w:tcW w:w="1400" w:type="dxa"/>
            <w:tcBorders/>
            <w:vAlign w:val="center"/>
          </w:tcPr>
          <w:p>
            <w:pPr>
              <w:pStyle w:val="MDPI42tablebody"/>
              <w:jc w:val="center"/>
            </w:pPr>
            <w:r>
              <w:rPr>
                <w:sz w:val="16"/>
              </w:rPr>
              <w:t>0/6 (-0.11)</w:t>
            </w:r>
          </w:p>
        </w:tc>
        <w:tc>
          <w:tcPr>
            <w:tcW w:w="1400" w:type="dxa"/>
            <w:tcBorders/>
            <w:vAlign w:val="center"/>
          </w:tcPr>
          <w:p>
            <w:pPr>
              <w:pStyle w:val="MDPI42tablebody"/>
              <w:jc w:val="center"/>
            </w:pPr>
            <w:r>
              <w:rPr>
                <w:sz w:val="16"/>
              </w:rPr>
              <w:t>0/6 (-0.10)</w:t>
            </w:r>
          </w:p>
        </w:tc>
        <w:tc>
          <w:tcPr>
            <w:tcW w:w="1466" w:type="dxa"/>
            <w:tcBorders/>
            <w:vAlign w:val="center"/>
          </w:tcPr>
          <w:p>
            <w:pPr>
              <w:pStyle w:val="MDPI42tablebody"/>
              <w:jc w:val="center"/>
            </w:pPr>
            <w:r>
              <w:rPr>
                <w:sz w:val="16"/>
              </w:rPr>
              <w:t>0/6 (-0.21)</w:t>
            </w:r>
          </w:p>
        </w:tc>
      </w:tr>
      <w:tr>
        <w:trPr>
          <w:cantSplit/>
        </w:trPr>
        <w:tc>
          <w:tcPr>
            <w:tcW w:w="2000" w:type="dxa"/>
            <w:tcBorders/>
            <w:vAlign w:val="center"/>
          </w:tcPr>
          <w:p>
            <w:pPr>
              <w:pStyle w:val="MDPI42tablebody"/>
              <w:jc w:val="left"/>
            </w:pPr>
            <w:r>
              <w:rPr>
                <w:sz w:val="16"/>
              </w:rPr>
              <w:t>Llama-3.2-1B</w:t>
            </w:r>
          </w:p>
        </w:tc>
        <w:tc>
          <w:tcPr>
            <w:tcW w:w="1400" w:type="dxa"/>
            <w:tcBorders/>
            <w:vAlign w:val="center"/>
          </w:tcPr>
          <w:p>
            <w:pPr>
              <w:pStyle w:val="MDPI42tablebody"/>
              <w:jc w:val="center"/>
            </w:pPr>
            <w:r>
              <w:rPr>
                <w:sz w:val="16"/>
              </w:rPr>
              <w:t>1/8 (+0.16)</w:t>
            </w:r>
          </w:p>
        </w:tc>
        <w:tc>
          <w:tcPr>
            <w:tcW w:w="1400" w:type="dxa"/>
            <w:tcBorders/>
            <w:vAlign w:val="center"/>
          </w:tcPr>
          <w:p>
            <w:pPr>
              <w:pStyle w:val="MDPI42tablebody"/>
              <w:jc w:val="center"/>
            </w:pPr>
            <w:r>
              <w:rPr>
                <w:sz w:val="16"/>
              </w:rPr>
              <w:t>2/8 (+0.23)</w:t>
            </w:r>
          </w:p>
        </w:tc>
        <w:tc>
          <w:tcPr>
            <w:tcW w:w="1400" w:type="dxa"/>
            <w:tcBorders/>
            <w:vAlign w:val="center"/>
          </w:tcPr>
          <w:p>
            <w:pPr>
              <w:pStyle w:val="MDPI42tablebody"/>
              <w:jc w:val="center"/>
            </w:pPr>
            <w:r>
              <w:rPr>
                <w:sz w:val="16"/>
              </w:rPr>
              <w:t>2/8 (+0.19)</w:t>
            </w:r>
          </w:p>
        </w:tc>
        <w:tc>
          <w:tcPr>
            <w:tcW w:w="1400" w:type="dxa"/>
            <w:tcBorders/>
            <w:vAlign w:val="center"/>
          </w:tcPr>
          <w:p>
            <w:pPr>
              <w:pStyle w:val="MDPI42tablebody"/>
              <w:jc w:val="center"/>
            </w:pPr>
            <w:r>
              <w:rPr>
                <w:sz w:val="16"/>
              </w:rPr>
              <w:t>1/8 (+0.06)</w:t>
            </w:r>
          </w:p>
        </w:tc>
        <w:tc>
          <w:tcPr>
            <w:tcW w:w="1400" w:type="dxa"/>
            <w:tcBorders/>
            <w:vAlign w:val="center"/>
          </w:tcPr>
          <w:p>
            <w:pPr>
              <w:pStyle w:val="MDPI42tablebody"/>
              <w:jc w:val="center"/>
            </w:pPr>
            <w:r>
              <w:rPr>
                <w:sz w:val="16"/>
              </w:rPr>
              <w:t>1/8 (+0.08)</w:t>
            </w:r>
          </w:p>
        </w:tc>
        <w:tc>
          <w:tcPr>
            <w:tcW w:w="1466" w:type="dxa"/>
            <w:tcBorders/>
            <w:vAlign w:val="center"/>
          </w:tcPr>
          <w:p>
            <w:pPr>
              <w:pStyle w:val="MDPI42tablebody"/>
              <w:jc w:val="center"/>
            </w:pPr>
            <w:r>
              <w:rPr>
                <w:sz w:val="16"/>
              </w:rPr>
              <w:t>0/8 (-0.18)</w:t>
            </w:r>
          </w:p>
        </w:tc>
      </w:tr>
      <w:tr>
        <w:trPr>
          <w:cantSplit/>
        </w:trPr>
        <w:tc>
          <w:tcPr>
            <w:tcW w:w="2000" w:type="dxa"/>
            <w:tcBorders>
              <w:bottom w:val="single" w:sz="8" w:space="0" w:color="000000"/>
            </w:tcBorders>
            <w:vAlign w:val="center"/>
          </w:tcPr>
          <w:p>
            <w:pPr>
              <w:pStyle w:val="MDPI42tablebody"/>
              <w:jc w:val="left"/>
            </w:pPr>
            <w:r>
              <w:rPr>
                <w:sz w:val="16"/>
              </w:rPr>
              <w:t>SmolLM2-1.7B</w:t>
            </w:r>
          </w:p>
        </w:tc>
        <w:tc>
          <w:tcPr>
            <w:tcW w:w="1400" w:type="dxa"/>
            <w:tcBorders>
              <w:bottom w:val="single" w:sz="8" w:space="0" w:color="000000"/>
            </w:tcBorders>
            <w:vAlign w:val="center"/>
          </w:tcPr>
          <w:p>
            <w:pPr>
              <w:pStyle w:val="MDPI42tablebody"/>
              <w:jc w:val="center"/>
            </w:pPr>
            <w:r>
              <w:rPr>
                <w:sz w:val="16"/>
              </w:rPr>
              <w:t>3/8 (+0.11)</w:t>
            </w:r>
          </w:p>
        </w:tc>
        <w:tc>
          <w:tcPr>
            <w:tcW w:w="1400" w:type="dxa"/>
            <w:tcBorders>
              <w:bottom w:val="single" w:sz="8" w:space="0" w:color="000000"/>
            </w:tcBorders>
            <w:vAlign w:val="center"/>
          </w:tcPr>
          <w:p>
            <w:pPr>
              <w:pStyle w:val="MDPI42tablebody"/>
              <w:jc w:val="center"/>
            </w:pPr>
            <w:r>
              <w:rPr>
                <w:sz w:val="16"/>
              </w:rPr>
              <w:t>–</w:t>
            </w:r>
          </w:p>
        </w:tc>
        <w:tc>
          <w:tcPr>
            <w:tcW w:w="1400" w:type="dxa"/>
            <w:tcBorders>
              <w:bottom w:val="single" w:sz="8" w:space="0" w:color="000000"/>
            </w:tcBorders>
            <w:vAlign w:val="center"/>
          </w:tcPr>
          <w:p>
            <w:pPr>
              <w:pStyle w:val="MDPI42tablebody"/>
              <w:jc w:val="center"/>
            </w:pPr>
            <w:r>
              <w:rPr>
                <w:sz w:val="16"/>
              </w:rPr>
              <w:t>–</w:t>
            </w:r>
          </w:p>
        </w:tc>
        <w:tc>
          <w:tcPr>
            <w:tcW w:w="1400" w:type="dxa"/>
            <w:tcBorders>
              <w:bottom w:val="single" w:sz="8" w:space="0" w:color="000000"/>
            </w:tcBorders>
            <w:vAlign w:val="center"/>
          </w:tcPr>
          <w:p>
            <w:pPr>
              <w:pStyle w:val="MDPI42tablebody"/>
              <w:jc w:val="center"/>
            </w:pPr>
            <w:r>
              <w:rPr>
                <w:sz w:val="16"/>
              </w:rPr>
              <w:t>0/8 (+0.06)</w:t>
            </w:r>
          </w:p>
        </w:tc>
        <w:tc>
          <w:tcPr>
            <w:tcW w:w="1400" w:type="dxa"/>
            <w:tcBorders>
              <w:bottom w:val="single" w:sz="8" w:space="0" w:color="000000"/>
            </w:tcBorders>
            <w:vAlign w:val="center"/>
          </w:tcPr>
          <w:p>
            <w:pPr>
              <w:pStyle w:val="MDPI42tablebody"/>
              <w:jc w:val="center"/>
            </w:pPr>
            <w:r>
              <w:rPr>
                <w:sz w:val="16"/>
              </w:rPr>
              <w:t>–</w:t>
            </w:r>
          </w:p>
        </w:tc>
        <w:tc>
          <w:tcPr>
            <w:tcW w:w="1466" w:type="dxa"/>
            <w:tcBorders>
              <w:bottom w:val="single" w:sz="8" w:space="0" w:color="000000"/>
            </w:tcBorders>
            <w:vAlign w:val="center"/>
          </w:tcPr>
          <w:p>
            <w:pPr>
              <w:pStyle w:val="MDPI42tablebody"/>
              <w:jc w:val="center"/>
            </w:pPr>
            <w:r>
              <w:rPr>
                <w:sz w:val="16"/>
              </w:rPr>
              <w:t>–</w:t>
            </w:r>
          </w:p>
        </w:tc>
      </w:tr>
    </w:tbl>
    <w:p>
      <w:pPr>
        <w:pStyle w:val="MDPI43tablefooter"/>
      </w:pPr>
      <w:r>
        <w:rPr/>
        <w:t>A dash marks a wording that was not run for that model. Eight matched cells per model (six for Qwen2.5-1.5B, whose probe found no sticky attractor on one of the four tasks).</w:t>
      </w:r>
    </w:p>
    <w:p>
      <w:pPr>
        <w:pStyle w:val="MDPI31text"/>
      </w:pPr>
      <w:r>
        <w:rPr/>
        <w:t xml:space="preserve">Table 12 gives the test of H3 that was missing from the main text, with contamination aimed at the dominant response (C2). Adding contamination to pressure shifted </w:t>
      </w:r>
      <w:r>
        <w:rPr>
          <w:i/>
        </w:rPr>
        <w:t>T</w:t>
      </w:r>
      <w:r>
        <w:rPr/>
        <w:t>eff</w:t>
      </w:r>
      <w:r>
        <w:rPr/>
        <w:t xml:space="preserve"> - </w:t>
      </w:r>
      <w:r>
        <w:rPr>
          <w:i/>
        </w:rPr>
        <w:t>T</w:t>
      </w:r>
      <w:r>
        <w:rPr/>
        <w:t xml:space="preserve"> by -0.25 to +0.14 on average, and the shift reached 0.5 in either direction in 10 of 118 comparisons. The dominant-response text did not strengthen the pressure effect either: the mean shift was negative or close to zero in most models. It did change the choices strongly. Entropy and confidence flagged it in 16 and 16 of 22 cells, more often than they flagged diffuse negative text (C0 and C1: 24 and 20 of 52), and lock-in to the planted item rose from 0.37 in clean cells to 0.51 under C2 (C0: 0.41), but this extra concentration is largely a change of ordering rather than of scale and </w:t>
      </w:r>
      <w:r>
        <w:rPr>
          <w:i/>
        </w:rPr>
        <w:t>T</w:t>
      </w:r>
      <w:r>
        <w:rPr/>
        <w:t>eff</w:t>
      </w:r>
      <w:r>
        <w:rPr/>
        <w:t xml:space="preserve"> follows it only weakly. H3 remains unsupported. The conclusion about contamination is limited to these wordings, to models of 0.5 to 1.7 billion parameters and to this task.</w:t>
      </w:r>
    </w:p>
    <w:p>
      <w:pPr>
        <w:pStyle w:val="MDPI41tablecaption"/>
      </w:pPr>
      <w:r>
        <w:rPr>
          <w:b/>
        </w:rPr>
        <w:t xml:space="preserve">Table 12. </w:t>
      </w:r>
      <w:r>
        <w:rPr/>
        <w:t xml:space="preserve"> Effect of adding contamination to pressure: mean change of </w:t>
      </w:r>
      <w:r>
        <w:rPr>
          <w:i/>
        </w:rPr>
        <w:t>T</w:t>
      </w:r>
      <w:r>
        <w:rPr/>
        <w:t>eff</w:t>
      </w:r>
      <w:r>
        <w:rPr/>
        <w:t xml:space="preserve"> - </w:t>
      </w:r>
      <w:r>
        <w:rPr>
          <w:i/>
        </w:rPr>
        <w:t>T</w:t>
      </w:r>
      <w:r>
        <w:rPr/>
        <w:t xml:space="preserve"> (number of matched cells with a change of at least 0.5 in either direction, out of cells compared).</w:t>
      </w:r>
    </w:p>
    <w:tbl>
      <w:tblPr>
        <w:tblW w:w="10466" w:type="dxa"/>
        <w:tblInd w:w="0" w:type="dxa"/>
        <w:tblLayout w:type="fixed"/>
      </w:tblPr>
      <w:tblGrid>
        <w:gridCol w:w="2000"/>
        <w:gridCol w:w="1700"/>
        <w:gridCol w:w="1700"/>
        <w:gridCol w:w="1700"/>
        <w:gridCol w:w="1700"/>
        <w:gridCol w:w="16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sz w:val="16"/>
              </w:rPr>
              <w:t>Model</w:t>
            </w:r>
          </w:p>
        </w:tc>
        <w:tc>
          <w:tcPr>
            <w:tcW w:w="1700" w:type="dxa"/>
            <w:tcBorders>
              <w:top w:val="single" w:sz="8" w:space="0" w:color="000000"/>
              <w:bottom w:val="single" w:sz="4" w:space="0" w:color="000000"/>
            </w:tcBorders>
            <w:vAlign w:val="center"/>
          </w:tcPr>
          <w:p>
            <w:pPr>
              <w:pStyle w:val="MDPI42tablebody"/>
              <w:jc w:val="center"/>
            </w:pPr>
            <w:r>
              <w:rPr>
                <w:b/>
                <w:sz w:val="16"/>
              </w:rPr>
              <w:t>P0+C0 vs P0</w:t>
            </w:r>
          </w:p>
        </w:tc>
        <w:tc>
          <w:tcPr>
            <w:tcW w:w="1700" w:type="dxa"/>
            <w:tcBorders>
              <w:top w:val="single" w:sz="8" w:space="0" w:color="000000"/>
              <w:bottom w:val="single" w:sz="4" w:space="0" w:color="000000"/>
            </w:tcBorders>
            <w:vAlign w:val="center"/>
          </w:tcPr>
          <w:p>
            <w:pPr>
              <w:pStyle w:val="MDPI42tablebody"/>
              <w:jc w:val="center"/>
            </w:pPr>
            <w:r>
              <w:rPr>
                <w:b/>
                <w:sz w:val="16"/>
              </w:rPr>
              <w:t>P0+C2 vs P0</w:t>
            </w:r>
          </w:p>
        </w:tc>
        <w:tc>
          <w:tcPr>
            <w:tcW w:w="1700" w:type="dxa"/>
            <w:tcBorders>
              <w:top w:val="single" w:sz="8" w:space="0" w:color="000000"/>
              <w:bottom w:val="single" w:sz="4" w:space="0" w:color="000000"/>
            </w:tcBorders>
            <w:vAlign w:val="center"/>
          </w:tcPr>
          <w:p>
            <w:pPr>
              <w:pStyle w:val="MDPI42tablebody"/>
              <w:jc w:val="center"/>
            </w:pPr>
            <w:r>
              <w:rPr>
                <w:b/>
                <w:sz w:val="16"/>
              </w:rPr>
              <w:t>P1+C1 vs P1</w:t>
            </w:r>
          </w:p>
        </w:tc>
        <w:tc>
          <w:tcPr>
            <w:tcW w:w="1700" w:type="dxa"/>
            <w:tcBorders>
              <w:top w:val="single" w:sz="8" w:space="0" w:color="000000"/>
              <w:bottom w:val="single" w:sz="4" w:space="0" w:color="000000"/>
            </w:tcBorders>
            <w:vAlign w:val="center"/>
          </w:tcPr>
          <w:p>
            <w:pPr>
              <w:pStyle w:val="MDPI42tablebody"/>
              <w:jc w:val="center"/>
            </w:pPr>
            <w:r>
              <w:rPr>
                <w:b/>
                <w:sz w:val="16"/>
              </w:rPr>
              <w:t>P1+C2 vs P1</w:t>
            </w:r>
          </w:p>
        </w:tc>
        <w:tc>
          <w:tcPr>
            <w:tcW w:w="1666" w:type="dxa"/>
            <w:tcBorders>
              <w:top w:val="single" w:sz="8" w:space="0" w:color="000000"/>
              <w:bottom w:val="single" w:sz="4" w:space="0" w:color="000000"/>
            </w:tcBorders>
            <w:vAlign w:val="center"/>
          </w:tcPr>
          <w:p>
            <w:pPr>
              <w:pStyle w:val="MDPI42tablebody"/>
              <w:jc w:val="center"/>
            </w:pPr>
            <w:r>
              <w:rPr>
                <w:b/>
                <w:sz w:val="16"/>
              </w:rPr>
              <w:t>P2+C2 vs P2</w:t>
            </w:r>
          </w:p>
        </w:tc>
      </w:tr>
      <w:tr>
        <w:trPr>
          <w:cantSplit/>
        </w:trPr>
        <w:tc>
          <w:tcPr>
            <w:tcW w:w="2000" w:type="dxa"/>
            <w:tcBorders/>
            <w:vAlign w:val="center"/>
          </w:tcPr>
          <w:p>
            <w:pPr>
              <w:pStyle w:val="MDPI42tablebody"/>
              <w:jc w:val="left"/>
            </w:pPr>
            <w:r>
              <w:rPr>
                <w:sz w:val="16"/>
              </w:rPr>
              <w:t>Qwen2.5-0.5B</w:t>
            </w:r>
          </w:p>
        </w:tc>
        <w:tc>
          <w:tcPr>
            <w:tcW w:w="1700" w:type="dxa"/>
            <w:tcBorders/>
            <w:vAlign w:val="center"/>
          </w:tcPr>
          <w:p>
            <w:pPr>
              <w:pStyle w:val="MDPI42tablebody"/>
              <w:jc w:val="center"/>
            </w:pPr>
            <w:r>
              <w:rPr>
                <w:sz w:val="16"/>
              </w:rPr>
              <w:t>+0.01 (0/8)</w:t>
            </w:r>
          </w:p>
        </w:tc>
        <w:tc>
          <w:tcPr>
            <w:tcW w:w="1700" w:type="dxa"/>
            <w:tcBorders/>
            <w:vAlign w:val="center"/>
          </w:tcPr>
          <w:p>
            <w:pPr>
              <w:pStyle w:val="MDPI42tablebody"/>
              <w:jc w:val="center"/>
            </w:pPr>
            <w:r>
              <w:rPr>
                <w:sz w:val="16"/>
              </w:rPr>
              <w:t>-0.14 (1/8)</w:t>
            </w:r>
          </w:p>
        </w:tc>
        <w:tc>
          <w:tcPr>
            <w:tcW w:w="1700" w:type="dxa"/>
            <w:tcBorders/>
            <w:vAlign w:val="center"/>
          </w:tcPr>
          <w:p>
            <w:pPr>
              <w:pStyle w:val="MDPI42tablebody"/>
              <w:jc w:val="center"/>
            </w:pPr>
            <w:r>
              <w:rPr>
                <w:sz w:val="16"/>
              </w:rPr>
              <w:t>-0.06 (1/8)</w:t>
            </w:r>
          </w:p>
        </w:tc>
        <w:tc>
          <w:tcPr>
            <w:tcW w:w="1700" w:type="dxa"/>
            <w:tcBorders/>
            <w:vAlign w:val="center"/>
          </w:tcPr>
          <w:p>
            <w:pPr>
              <w:pStyle w:val="MDPI42tablebody"/>
              <w:jc w:val="center"/>
            </w:pPr>
            <w:r>
              <w:rPr>
                <w:sz w:val="16"/>
              </w:rPr>
              <w:t>-0.05 (0/8)</w:t>
            </w:r>
          </w:p>
        </w:tc>
        <w:tc>
          <w:tcPr>
            <w:tcW w:w="1666" w:type="dxa"/>
            <w:tcBorders/>
            <w:vAlign w:val="center"/>
          </w:tcPr>
          <w:p>
            <w:pPr>
              <w:pStyle w:val="MDPI42tablebody"/>
              <w:jc w:val="center"/>
            </w:pPr>
            <w:r>
              <w:rPr>
                <w:sz w:val="16"/>
              </w:rPr>
              <w:t>-0.06 (2/8)</w:t>
            </w:r>
          </w:p>
        </w:tc>
      </w:tr>
      <w:tr>
        <w:trPr>
          <w:cantSplit/>
        </w:trPr>
        <w:tc>
          <w:tcPr>
            <w:tcW w:w="2000" w:type="dxa"/>
            <w:tcBorders/>
            <w:vAlign w:val="center"/>
          </w:tcPr>
          <w:p>
            <w:pPr>
              <w:pStyle w:val="MDPI42tablebody"/>
              <w:jc w:val="left"/>
            </w:pPr>
            <w:r>
              <w:rPr>
                <w:sz w:val="16"/>
              </w:rPr>
              <w:t>Qwen2.5-1.5B</w:t>
            </w:r>
          </w:p>
        </w:tc>
        <w:tc>
          <w:tcPr>
            <w:tcW w:w="1700" w:type="dxa"/>
            <w:tcBorders/>
            <w:vAlign w:val="center"/>
          </w:tcPr>
          <w:p>
            <w:pPr>
              <w:pStyle w:val="MDPI42tablebody"/>
              <w:jc w:val="center"/>
            </w:pPr>
            <w:r>
              <w:rPr>
                <w:sz w:val="16"/>
              </w:rPr>
              <w:t>-0.11 (1/6)</w:t>
            </w:r>
          </w:p>
        </w:tc>
        <w:tc>
          <w:tcPr>
            <w:tcW w:w="1700" w:type="dxa"/>
            <w:tcBorders/>
            <w:vAlign w:val="center"/>
          </w:tcPr>
          <w:p>
            <w:pPr>
              <w:pStyle w:val="MDPI42tablebody"/>
              <w:jc w:val="center"/>
            </w:pPr>
            <w:r>
              <w:rPr>
                <w:sz w:val="16"/>
              </w:rPr>
              <w:t>-0.13 (2/6)</w:t>
            </w:r>
          </w:p>
        </w:tc>
        <w:tc>
          <w:tcPr>
            <w:tcW w:w="1700" w:type="dxa"/>
            <w:tcBorders/>
            <w:vAlign w:val="center"/>
          </w:tcPr>
          <w:p>
            <w:pPr>
              <w:pStyle w:val="MDPI42tablebody"/>
              <w:jc w:val="center"/>
            </w:pPr>
            <w:r>
              <w:rPr>
                <w:sz w:val="16"/>
              </w:rPr>
              <w:t>+0.06 (0/6)</w:t>
            </w:r>
          </w:p>
        </w:tc>
        <w:tc>
          <w:tcPr>
            <w:tcW w:w="1700" w:type="dxa"/>
            <w:tcBorders/>
            <w:vAlign w:val="center"/>
          </w:tcPr>
          <w:p>
            <w:pPr>
              <w:pStyle w:val="MDPI42tablebody"/>
              <w:jc w:val="center"/>
            </w:pPr>
            <w:r>
              <w:rPr>
                <w:sz w:val="16"/>
              </w:rPr>
              <w:t>-0.22 (2/6)</w:t>
            </w:r>
          </w:p>
        </w:tc>
        <w:tc>
          <w:tcPr>
            <w:tcW w:w="1666" w:type="dxa"/>
            <w:tcBorders/>
            <w:vAlign w:val="center"/>
          </w:tcPr>
          <w:p>
            <w:pPr>
              <w:pStyle w:val="MDPI42tablebody"/>
              <w:jc w:val="center"/>
            </w:pPr>
            <w:r>
              <w:rPr>
                <w:sz w:val="16"/>
              </w:rPr>
              <w:t>-0.25 (1/6)</w:t>
            </w:r>
          </w:p>
        </w:tc>
      </w:tr>
      <w:tr>
        <w:trPr>
          <w:cantSplit/>
        </w:trPr>
        <w:tc>
          <w:tcPr>
            <w:tcW w:w="2000" w:type="dxa"/>
            <w:tcBorders/>
            <w:vAlign w:val="center"/>
          </w:tcPr>
          <w:p>
            <w:pPr>
              <w:pStyle w:val="MDPI42tablebody"/>
              <w:jc w:val="left"/>
            </w:pPr>
            <w:r>
              <w:rPr>
                <w:sz w:val="16"/>
              </w:rPr>
              <w:t>Llama-3.2-1B</w:t>
            </w:r>
          </w:p>
        </w:tc>
        <w:tc>
          <w:tcPr>
            <w:tcW w:w="1700" w:type="dxa"/>
            <w:tcBorders/>
            <w:vAlign w:val="center"/>
          </w:tcPr>
          <w:p>
            <w:pPr>
              <w:pStyle w:val="MDPI42tablebody"/>
              <w:jc w:val="center"/>
            </w:pPr>
            <w:r>
              <w:rPr>
                <w:sz w:val="16"/>
              </w:rPr>
              <w:t>-0.04 (0/8)</w:t>
            </w:r>
          </w:p>
        </w:tc>
        <w:tc>
          <w:tcPr>
            <w:tcW w:w="1700" w:type="dxa"/>
            <w:tcBorders/>
            <w:vAlign w:val="center"/>
          </w:tcPr>
          <w:p>
            <w:pPr>
              <w:pStyle w:val="MDPI42tablebody"/>
              <w:jc w:val="center"/>
            </w:pPr>
            <w:r>
              <w:rPr>
                <w:sz w:val="16"/>
              </w:rPr>
              <w:t>+0.01 (0/8)</w:t>
            </w:r>
          </w:p>
        </w:tc>
        <w:tc>
          <w:tcPr>
            <w:tcW w:w="1700" w:type="dxa"/>
            <w:tcBorders/>
            <w:vAlign w:val="center"/>
          </w:tcPr>
          <w:p>
            <w:pPr>
              <w:pStyle w:val="MDPI42tablebody"/>
              <w:jc w:val="center"/>
            </w:pPr>
            <w:r>
              <w:rPr>
                <w:sz w:val="16"/>
              </w:rPr>
              <w:t>+0.14 (0/8)</w:t>
            </w:r>
          </w:p>
        </w:tc>
        <w:tc>
          <w:tcPr>
            <w:tcW w:w="1700" w:type="dxa"/>
            <w:tcBorders/>
            <w:vAlign w:val="center"/>
          </w:tcPr>
          <w:p>
            <w:pPr>
              <w:pStyle w:val="MDPI42tablebody"/>
              <w:jc w:val="center"/>
            </w:pPr>
            <w:r>
              <w:rPr>
                <w:sz w:val="16"/>
              </w:rPr>
              <w:t>+0.11 (0/8)</w:t>
            </w:r>
          </w:p>
        </w:tc>
        <w:tc>
          <w:tcPr>
            <w:tcW w:w="1666" w:type="dxa"/>
            <w:tcBorders/>
            <w:vAlign w:val="center"/>
          </w:tcPr>
          <w:p>
            <w:pPr>
              <w:pStyle w:val="MDPI42tablebody"/>
              <w:jc w:val="center"/>
            </w:pPr>
            <w:r>
              <w:rPr>
                <w:sz w:val="16"/>
              </w:rPr>
              <w:t>-0.07 (0/8)</w:t>
            </w:r>
          </w:p>
        </w:tc>
      </w:tr>
      <w:tr>
        <w:trPr>
          <w:cantSplit/>
        </w:trPr>
        <w:tc>
          <w:tcPr>
            <w:tcW w:w="2000" w:type="dxa"/>
            <w:tcBorders>
              <w:bottom w:val="single" w:sz="8" w:space="0" w:color="000000"/>
            </w:tcBorders>
            <w:vAlign w:val="center"/>
          </w:tcPr>
          <w:p>
            <w:pPr>
              <w:pStyle w:val="MDPI42tablebody"/>
              <w:jc w:val="left"/>
            </w:pPr>
            <w:r>
              <w:rPr>
                <w:sz w:val="16"/>
              </w:rPr>
              <w:t>SmolLM2-1.7B</w:t>
            </w:r>
          </w:p>
        </w:tc>
        <w:tc>
          <w:tcPr>
            <w:tcW w:w="1700" w:type="dxa"/>
            <w:tcBorders>
              <w:bottom w:val="single" w:sz="8" w:space="0" w:color="000000"/>
            </w:tcBorders>
            <w:vAlign w:val="center"/>
          </w:tcPr>
          <w:p>
            <w:pPr>
              <w:pStyle w:val="MDPI42tablebody"/>
              <w:jc w:val="center"/>
            </w:pPr>
            <w:r>
              <w:rPr>
                <w:sz w:val="16"/>
              </w:rPr>
              <w:t>+0.03 (0/8)</w:t>
            </w:r>
          </w:p>
        </w:tc>
        <w:tc>
          <w:tcPr>
            <w:tcW w:w="1700" w:type="dxa"/>
            <w:tcBorders>
              <w:bottom w:val="single" w:sz="8" w:space="0" w:color="000000"/>
            </w:tcBorders>
            <w:vAlign w:val="center"/>
          </w:tcPr>
          <w:p>
            <w:pPr>
              <w:pStyle w:val="MDPI42tablebody"/>
              <w:jc w:val="center"/>
            </w:pPr>
            <w:r>
              <w:rPr>
                <w:sz w:val="16"/>
              </w:rPr>
              <w:t>–</w:t>
            </w:r>
          </w:p>
        </w:tc>
        <w:tc>
          <w:tcPr>
            <w:tcW w:w="1700" w:type="dxa"/>
            <w:tcBorders>
              <w:bottom w:val="single" w:sz="8" w:space="0" w:color="000000"/>
            </w:tcBorders>
            <w:vAlign w:val="center"/>
          </w:tcPr>
          <w:p>
            <w:pPr>
              <w:pStyle w:val="MDPI42tablebody"/>
              <w:jc w:val="center"/>
            </w:pPr>
            <w:r>
              <w:rPr>
                <w:sz w:val="16"/>
              </w:rPr>
              <w:t>–</w:t>
            </w:r>
          </w:p>
        </w:tc>
        <w:tc>
          <w:tcPr>
            <w:tcW w:w="1700" w:type="dxa"/>
            <w:tcBorders>
              <w:bottom w:val="single" w:sz="8" w:space="0" w:color="000000"/>
            </w:tcBorders>
            <w:vAlign w:val="center"/>
          </w:tcPr>
          <w:p>
            <w:pPr>
              <w:pStyle w:val="MDPI42tablebody"/>
              <w:jc w:val="center"/>
            </w:pPr>
            <w:r>
              <w:rPr>
                <w:sz w:val="16"/>
              </w:rPr>
              <w:t>–</w:t>
            </w:r>
          </w:p>
        </w:tc>
        <w:tc>
          <w:tcPr>
            <w:tcW w:w="1666" w:type="dxa"/>
            <w:tcBorders>
              <w:bottom w:val="single" w:sz="8" w:space="0" w:color="000000"/>
            </w:tcBorders>
            <w:vAlign w:val="center"/>
          </w:tcPr>
          <w:p>
            <w:pPr>
              <w:pStyle w:val="MDPI42tablebody"/>
              <w:jc w:val="center"/>
            </w:pPr>
            <w:r>
              <w:rPr>
                <w:sz w:val="16"/>
              </w:rPr>
              <w:t>–</w:t>
            </w:r>
          </w:p>
        </w:tc>
      </w:tr>
    </w:tbl>
    <w:p>
      <w:pPr>
        <w:pStyle w:val="MDPI43tablefooter"/>
      </w:pPr>
      <w:r>
        <w:rPr/>
        <w:t>C2 is the dominant-response contamination. SmolLM2-1.7B was run with the original wordings only.</w:t>
      </w:r>
    </w:p>
    <w:p>
      <w:pPr>
        <w:pStyle w:val="MDPI22heading2"/>
      </w:pPr>
      <w:r>
        <w:rPr/>
        <w:t>5.9. Comparison with Reference-Based Likelihood and Divergence Measures</w:t>
      </w:r>
    </w:p>
    <w:p>
      <w:pPr>
        <w:pStyle w:val="MDPI31text"/>
      </w:pPr>
      <w:r>
        <w:rPr/>
        <w:t xml:space="preserve">Section 5.6 left open whether fitting a temperature adds anything to a plain comparison of the sampling distribution with the reference. Table 13 adds the reference log-likelihood (mean negative log-probability of the chosen items under the same-history reference at the nominal temperature), the divergence KL(sampling ‖ reference) at the nominal temperature, the distributional estimator </w:t>
      </w:r>
      <w:r>
        <w:rPr>
          <w:i/>
        </w:rPr>
        <w:t>T</w:t>
      </w:r>
      <w:r>
        <w:rPr/>
        <w:t>eff</w:t>
      </w:r>
      <w:r>
        <w:rPr>
          <w:vertAlign w:val="superscript"/>
        </w:rPr>
        <w:t>dist</w:t>
      </w:r>
      <w:r>
        <w:rPr/>
        <w:t xml:space="preserve"> and the residual divergence κ. Pooled over the models and the three pressure wordings, pressure was flagged by ECE in 41/74 cells, by the reference log-likelihood in 40/74, by entropy in 37/74, by confidence in 35/74, by the divergence in 27/74, by exact-match semantic entropy in 23/74 and by </w:t>
      </w:r>
      <w:r>
        <w:rPr>
          <w:i/>
        </w:rPr>
        <w:t>T</w:t>
      </w:r>
      <w:r>
        <w:rPr/>
        <w:t>eff</w:t>
      </w:r>
      <w:r>
        <w:rPr/>
        <w:t xml:space="preserve"> in 17/74. The distributional estimator, which removes the draw noise, flagged 12/74. Fitting a temperature therefore flags fewer pressured cells than the reference log-likelihood from which it is computed, and it does not become more sensitive when the sampling noise is removed. At the level of single trajectories the two-sided AUC of </w:t>
      </w:r>
      <w:r>
        <w:rPr>
          <w:i/>
        </w:rPr>
        <w:t>T</w:t>
      </w:r>
      <w:r>
        <w:rPr/>
        <w:t>eff</w:t>
      </w:r>
      <w:r>
        <w:rPr/>
        <w:t xml:space="preserve"> (six choices) was 0.64, against 0.74 for entropy and 0.64 for the reference log-likelihood. Two AUCs need a reservation. In a clean cell the reference equals the sampling distribution, so KL is exactly zero and its AUC of 1.00 only records that the context differs from the clean one. The same degeneracy, to a smaller degree, lifts the AUC of </w:t>
      </w:r>
      <w:r>
        <w:rPr>
          <w:i/>
        </w:rPr>
        <w:t>T</w:t>
      </w:r>
      <w:r>
        <w:rPr/>
        <w:t>eff</w:t>
      </w:r>
      <w:r>
        <w:rPr>
          <w:vertAlign w:val="superscript"/>
        </w:rPr>
        <w:t>dist</w:t>
      </w:r>
      <w:r>
        <w:rPr/>
        <w:t xml:space="preserve"> (0.91). Both numbers are upper bounds that rest on knowing the clean context, and they say nothing about whether the agent has failed.</w:t>
      </w:r>
    </w:p>
    <w:p>
      <w:pPr>
        <w:pStyle w:val="MDPI41tablecaption"/>
      </w:pPr>
      <w:r>
        <w:rPr>
          <w:b/>
        </w:rPr>
        <w:t xml:space="preserve">Table 13. </w:t>
      </w:r>
      <w:r>
        <w:rPr/>
        <w:t xml:space="preserve"> Matched cells flagged (either direction) and mean two-sided trajectory-level AUC, pooled over the four additional models: pressure (P0, P1, P2), diffuse contamination (C0, C1) and dominant-response contamination (C2).</w:t>
      </w:r>
    </w:p>
    <w:tbl>
      <w:tblPr>
        <w:tblW w:w="10466" w:type="dxa"/>
        <w:tblInd w:w="0" w:type="dxa"/>
        <w:tblLayout w:type="fixed"/>
      </w:tblPr>
      <w:tblGrid>
        <w:gridCol w:w="2600"/>
        <w:gridCol w:w="1250"/>
        <w:gridCol w:w="1250"/>
        <w:gridCol w:w="1250"/>
        <w:gridCol w:w="1250"/>
        <w:gridCol w:w="1450"/>
        <w:gridCol w:w="141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sz w:val="16"/>
              </w:rPr>
              <w:t>Indicator</w:t>
            </w:r>
          </w:p>
        </w:tc>
        <w:tc>
          <w:tcPr>
            <w:tcW w:w="1250" w:type="dxa"/>
            <w:tcBorders>
              <w:top w:val="single" w:sz="8" w:space="0" w:color="000000"/>
              <w:bottom w:val="single" w:sz="4" w:space="0" w:color="000000"/>
            </w:tcBorders>
            <w:vAlign w:val="center"/>
          </w:tcPr>
          <w:p>
            <w:pPr>
              <w:pStyle w:val="MDPI42tablebody"/>
              <w:jc w:val="center"/>
            </w:pPr>
            <w:r>
              <w:rPr>
                <w:b/>
                <w:sz w:val="16"/>
              </w:rPr>
              <w:t>Pressure flags</w:t>
            </w:r>
          </w:p>
        </w:tc>
        <w:tc>
          <w:tcPr>
            <w:tcW w:w="1250" w:type="dxa"/>
            <w:tcBorders>
              <w:top w:val="single" w:sz="8" w:space="0" w:color="000000"/>
              <w:bottom w:val="single" w:sz="4" w:space="0" w:color="000000"/>
            </w:tcBorders>
            <w:vAlign w:val="center"/>
          </w:tcPr>
          <w:p>
            <w:pPr>
              <w:pStyle w:val="MDPI42tablebody"/>
              <w:jc w:val="center"/>
            </w:pPr>
            <w:r>
              <w:rPr>
                <w:b/>
                <w:sz w:val="16"/>
              </w:rPr>
              <w:t>Pressure AUC</w:t>
            </w:r>
          </w:p>
        </w:tc>
        <w:tc>
          <w:tcPr>
            <w:tcW w:w="1250" w:type="dxa"/>
            <w:tcBorders>
              <w:top w:val="single" w:sz="8" w:space="0" w:color="000000"/>
              <w:bottom w:val="single" w:sz="4" w:space="0" w:color="000000"/>
            </w:tcBorders>
            <w:vAlign w:val="center"/>
          </w:tcPr>
          <w:p>
            <w:pPr>
              <w:pStyle w:val="MDPI42tablebody"/>
              <w:jc w:val="center"/>
            </w:pPr>
            <w:r>
              <w:rPr>
                <w:b/>
                <w:sz w:val="16"/>
              </w:rPr>
              <w:t>Contam. flags</w:t>
            </w:r>
          </w:p>
        </w:tc>
        <w:tc>
          <w:tcPr>
            <w:tcW w:w="1250" w:type="dxa"/>
            <w:tcBorders>
              <w:top w:val="single" w:sz="8" w:space="0" w:color="000000"/>
              <w:bottom w:val="single" w:sz="4" w:space="0" w:color="000000"/>
            </w:tcBorders>
            <w:vAlign w:val="center"/>
          </w:tcPr>
          <w:p>
            <w:pPr>
              <w:pStyle w:val="MDPI42tablebody"/>
              <w:jc w:val="center"/>
            </w:pPr>
            <w:r>
              <w:rPr>
                <w:b/>
                <w:sz w:val="16"/>
              </w:rPr>
              <w:t>Contam. AUC</w:t>
            </w:r>
          </w:p>
        </w:tc>
        <w:tc>
          <w:tcPr>
            <w:tcW w:w="1450" w:type="dxa"/>
            <w:tcBorders>
              <w:top w:val="single" w:sz="8" w:space="0" w:color="000000"/>
              <w:bottom w:val="single" w:sz="4" w:space="0" w:color="000000"/>
            </w:tcBorders>
            <w:vAlign w:val="center"/>
          </w:tcPr>
          <w:p>
            <w:pPr>
              <w:pStyle w:val="MDPI42tablebody"/>
              <w:jc w:val="center"/>
            </w:pPr>
            <w:r>
              <w:rPr>
                <w:b/>
                <w:sz w:val="16"/>
              </w:rPr>
              <w:t>Dominant flags</w:t>
            </w:r>
          </w:p>
        </w:tc>
        <w:tc>
          <w:tcPr>
            <w:tcW w:w="1416" w:type="dxa"/>
            <w:tcBorders>
              <w:top w:val="single" w:sz="8" w:space="0" w:color="000000"/>
              <w:bottom w:val="single" w:sz="4" w:space="0" w:color="000000"/>
            </w:tcBorders>
            <w:vAlign w:val="center"/>
          </w:tcPr>
          <w:p>
            <w:pPr>
              <w:pStyle w:val="MDPI42tablebody"/>
              <w:jc w:val="center"/>
            </w:pPr>
            <w:r>
              <w:rPr>
                <w:b/>
                <w:sz w:val="16"/>
              </w:rPr>
              <w:t>Dominant AUC</w:t>
            </w:r>
          </w:p>
        </w:tc>
      </w:tr>
      <w:tr>
        <w:trPr>
          <w:cantSplit/>
        </w:trPr>
        <w:tc>
          <w:tcPr>
            <w:tcW w:w="2600" w:type="dxa"/>
            <w:tcBorders/>
            <w:vAlign w:val="center"/>
          </w:tcPr>
          <w:p>
            <w:pPr>
              <w:pStyle w:val="MDPI42tablebody"/>
              <w:jc w:val="left"/>
            </w:pPr>
            <w:r>
              <w:rPr>
                <w:sz w:val="16"/>
              </w:rPr>
              <w:t>Token entropy</w:t>
            </w:r>
          </w:p>
        </w:tc>
        <w:tc>
          <w:tcPr>
            <w:tcW w:w="1250" w:type="dxa"/>
            <w:tcBorders/>
            <w:vAlign w:val="center"/>
          </w:tcPr>
          <w:p>
            <w:pPr>
              <w:pStyle w:val="MDPI42tablebody"/>
              <w:jc w:val="center"/>
            </w:pPr>
            <w:r>
              <w:rPr>
                <w:sz w:val="16"/>
              </w:rPr>
              <w:t>37/74</w:t>
            </w:r>
          </w:p>
        </w:tc>
        <w:tc>
          <w:tcPr>
            <w:tcW w:w="1250" w:type="dxa"/>
            <w:tcBorders/>
            <w:vAlign w:val="center"/>
          </w:tcPr>
          <w:p>
            <w:pPr>
              <w:pStyle w:val="MDPI42tablebody"/>
              <w:jc w:val="center"/>
            </w:pPr>
            <w:r>
              <w:rPr>
                <w:sz w:val="16"/>
              </w:rPr>
              <w:t>0.74</w:t>
            </w:r>
          </w:p>
        </w:tc>
        <w:tc>
          <w:tcPr>
            <w:tcW w:w="1250" w:type="dxa"/>
            <w:tcBorders/>
            <w:vAlign w:val="center"/>
          </w:tcPr>
          <w:p>
            <w:pPr>
              <w:pStyle w:val="MDPI42tablebody"/>
              <w:jc w:val="center"/>
            </w:pPr>
            <w:r>
              <w:rPr>
                <w:sz w:val="16"/>
              </w:rPr>
              <w:t>24/52</w:t>
            </w:r>
          </w:p>
        </w:tc>
        <w:tc>
          <w:tcPr>
            <w:tcW w:w="1250" w:type="dxa"/>
            <w:tcBorders/>
            <w:vAlign w:val="center"/>
          </w:tcPr>
          <w:p>
            <w:pPr>
              <w:pStyle w:val="MDPI42tablebody"/>
              <w:jc w:val="center"/>
            </w:pPr>
            <w:r>
              <w:rPr>
                <w:sz w:val="16"/>
              </w:rPr>
              <w:t>0.71</w:t>
            </w:r>
          </w:p>
        </w:tc>
        <w:tc>
          <w:tcPr>
            <w:tcW w:w="1450" w:type="dxa"/>
            <w:tcBorders/>
            <w:vAlign w:val="center"/>
          </w:tcPr>
          <w:p>
            <w:pPr>
              <w:pStyle w:val="MDPI42tablebody"/>
              <w:jc w:val="center"/>
            </w:pPr>
            <w:r>
              <w:rPr>
                <w:sz w:val="16"/>
              </w:rPr>
              <w:t>16/22</w:t>
            </w:r>
          </w:p>
        </w:tc>
        <w:tc>
          <w:tcPr>
            <w:tcW w:w="1416" w:type="dxa"/>
            <w:tcBorders/>
            <w:vAlign w:val="center"/>
          </w:tcPr>
          <w:p>
            <w:pPr>
              <w:pStyle w:val="MDPI42tablebody"/>
              <w:jc w:val="center"/>
            </w:pPr>
            <w:r>
              <w:rPr>
                <w:sz w:val="16"/>
              </w:rPr>
              <w:t>0.78</w:t>
            </w:r>
          </w:p>
        </w:tc>
      </w:tr>
      <w:tr>
        <w:trPr>
          <w:cantSplit/>
        </w:trPr>
        <w:tc>
          <w:tcPr>
            <w:tcW w:w="2600" w:type="dxa"/>
            <w:tcBorders/>
            <w:vAlign w:val="center"/>
          </w:tcPr>
          <w:p>
            <w:pPr>
              <w:pStyle w:val="MDPI42tablebody"/>
              <w:jc w:val="left"/>
            </w:pPr>
            <w:r>
              <w:rPr>
                <w:sz w:val="16"/>
              </w:rPr>
              <w:t>Confidence</w:t>
            </w:r>
          </w:p>
        </w:tc>
        <w:tc>
          <w:tcPr>
            <w:tcW w:w="1250" w:type="dxa"/>
            <w:tcBorders/>
            <w:vAlign w:val="center"/>
          </w:tcPr>
          <w:p>
            <w:pPr>
              <w:pStyle w:val="MDPI42tablebody"/>
              <w:jc w:val="center"/>
            </w:pPr>
            <w:r>
              <w:rPr>
                <w:sz w:val="16"/>
              </w:rPr>
              <w:t>35/74</w:t>
            </w:r>
          </w:p>
        </w:tc>
        <w:tc>
          <w:tcPr>
            <w:tcW w:w="1250" w:type="dxa"/>
            <w:tcBorders/>
            <w:vAlign w:val="center"/>
          </w:tcPr>
          <w:p>
            <w:pPr>
              <w:pStyle w:val="MDPI42tablebody"/>
              <w:jc w:val="center"/>
            </w:pPr>
            <w:r>
              <w:rPr>
                <w:sz w:val="16"/>
              </w:rPr>
              <w:t>0.70</w:t>
            </w:r>
          </w:p>
        </w:tc>
        <w:tc>
          <w:tcPr>
            <w:tcW w:w="1250" w:type="dxa"/>
            <w:tcBorders/>
            <w:vAlign w:val="center"/>
          </w:tcPr>
          <w:p>
            <w:pPr>
              <w:pStyle w:val="MDPI42tablebody"/>
              <w:jc w:val="center"/>
            </w:pPr>
            <w:r>
              <w:rPr>
                <w:sz w:val="16"/>
              </w:rPr>
              <w:t>20/52</w:t>
            </w:r>
          </w:p>
        </w:tc>
        <w:tc>
          <w:tcPr>
            <w:tcW w:w="1250" w:type="dxa"/>
            <w:tcBorders/>
            <w:vAlign w:val="center"/>
          </w:tcPr>
          <w:p>
            <w:pPr>
              <w:pStyle w:val="MDPI42tablebody"/>
              <w:jc w:val="center"/>
            </w:pPr>
            <w:r>
              <w:rPr>
                <w:sz w:val="16"/>
              </w:rPr>
              <w:t>0.67</w:t>
            </w:r>
          </w:p>
        </w:tc>
        <w:tc>
          <w:tcPr>
            <w:tcW w:w="1450" w:type="dxa"/>
            <w:tcBorders/>
            <w:vAlign w:val="center"/>
          </w:tcPr>
          <w:p>
            <w:pPr>
              <w:pStyle w:val="MDPI42tablebody"/>
              <w:jc w:val="center"/>
            </w:pPr>
            <w:r>
              <w:rPr>
                <w:sz w:val="16"/>
              </w:rPr>
              <w:t>16/22</w:t>
            </w:r>
          </w:p>
        </w:tc>
        <w:tc>
          <w:tcPr>
            <w:tcW w:w="1416" w:type="dxa"/>
            <w:tcBorders/>
            <w:vAlign w:val="center"/>
          </w:tcPr>
          <w:p>
            <w:pPr>
              <w:pStyle w:val="MDPI42tablebody"/>
              <w:jc w:val="center"/>
            </w:pPr>
            <w:r>
              <w:rPr>
                <w:sz w:val="16"/>
              </w:rPr>
              <w:t>0.75</w:t>
            </w:r>
          </w:p>
        </w:tc>
      </w:tr>
      <w:tr>
        <w:trPr>
          <w:cantSplit/>
        </w:trPr>
        <w:tc>
          <w:tcPr>
            <w:tcW w:w="2600" w:type="dxa"/>
            <w:tcBorders/>
            <w:vAlign w:val="center"/>
          </w:tcPr>
          <w:p>
            <w:pPr>
              <w:pStyle w:val="MDPI42tablebody"/>
              <w:jc w:val="left"/>
            </w:pPr>
            <w:r>
              <w:rPr>
                <w:sz w:val="16"/>
              </w:rPr>
              <w:t>ECE (needs labels)</w:t>
            </w:r>
          </w:p>
        </w:tc>
        <w:tc>
          <w:tcPr>
            <w:tcW w:w="1250" w:type="dxa"/>
            <w:tcBorders/>
            <w:vAlign w:val="center"/>
          </w:tcPr>
          <w:p>
            <w:pPr>
              <w:pStyle w:val="MDPI42tablebody"/>
              <w:jc w:val="center"/>
            </w:pPr>
            <w:r>
              <w:rPr>
                <w:sz w:val="16"/>
              </w:rPr>
              <w:t>41/74</w:t>
            </w:r>
          </w:p>
        </w:tc>
        <w:tc>
          <w:tcPr>
            <w:tcW w:w="1250" w:type="dxa"/>
            <w:tcBorders/>
            <w:vAlign w:val="center"/>
          </w:tcPr>
          <w:p>
            <w:pPr>
              <w:pStyle w:val="MDPI42tablebody"/>
              <w:jc w:val="center"/>
            </w:pPr>
            <w:r>
              <w:rPr>
                <w:sz w:val="16"/>
              </w:rPr>
              <w:t>–</w:t>
            </w:r>
          </w:p>
        </w:tc>
        <w:tc>
          <w:tcPr>
            <w:tcW w:w="1250" w:type="dxa"/>
            <w:tcBorders/>
            <w:vAlign w:val="center"/>
          </w:tcPr>
          <w:p>
            <w:pPr>
              <w:pStyle w:val="MDPI42tablebody"/>
              <w:jc w:val="center"/>
            </w:pPr>
            <w:r>
              <w:rPr>
                <w:sz w:val="16"/>
              </w:rPr>
              <w:t>18/52</w:t>
            </w:r>
          </w:p>
        </w:tc>
        <w:tc>
          <w:tcPr>
            <w:tcW w:w="1250" w:type="dxa"/>
            <w:tcBorders/>
            <w:vAlign w:val="center"/>
          </w:tcPr>
          <w:p>
            <w:pPr>
              <w:pStyle w:val="MDPI42tablebody"/>
              <w:jc w:val="center"/>
            </w:pPr>
            <w:r>
              <w:rPr>
                <w:sz w:val="16"/>
              </w:rPr>
              <w:t>–</w:t>
            </w:r>
          </w:p>
        </w:tc>
        <w:tc>
          <w:tcPr>
            <w:tcW w:w="1450" w:type="dxa"/>
            <w:tcBorders/>
            <w:vAlign w:val="center"/>
          </w:tcPr>
          <w:p>
            <w:pPr>
              <w:pStyle w:val="MDPI42tablebody"/>
              <w:jc w:val="center"/>
            </w:pPr>
            <w:r>
              <w:rPr>
                <w:sz w:val="16"/>
              </w:rPr>
              <w:t>14/22</w:t>
            </w:r>
          </w:p>
        </w:tc>
        <w:tc>
          <w:tcPr>
            <w:tcW w:w="1416" w:type="dxa"/>
            <w:tcBorders/>
            <w:vAlign w:val="center"/>
          </w:tcPr>
          <w:p>
            <w:pPr>
              <w:pStyle w:val="MDPI42tablebody"/>
              <w:jc w:val="center"/>
            </w:pPr>
            <w:r>
              <w:rPr>
                <w:sz w:val="16"/>
              </w:rPr>
              <w:t>–</w:t>
            </w:r>
          </w:p>
        </w:tc>
      </w:tr>
      <w:tr>
        <w:trPr>
          <w:cantSplit/>
        </w:trPr>
        <w:tc>
          <w:tcPr>
            <w:tcW w:w="2600" w:type="dxa"/>
            <w:tcBorders/>
            <w:vAlign w:val="center"/>
          </w:tcPr>
          <w:p>
            <w:pPr>
              <w:pStyle w:val="MDPI42tablebody"/>
              <w:jc w:val="left"/>
            </w:pPr>
            <w:r>
              <w:rPr>
                <w:sz w:val="16"/>
              </w:rPr>
              <w:t>Exact-match semantic entropy</w:t>
            </w:r>
          </w:p>
        </w:tc>
        <w:tc>
          <w:tcPr>
            <w:tcW w:w="1250" w:type="dxa"/>
            <w:tcBorders/>
            <w:vAlign w:val="center"/>
          </w:tcPr>
          <w:p>
            <w:pPr>
              <w:pStyle w:val="MDPI42tablebody"/>
              <w:jc w:val="center"/>
            </w:pPr>
            <w:r>
              <w:rPr>
                <w:sz w:val="16"/>
              </w:rPr>
              <w:t>23/74</w:t>
            </w:r>
          </w:p>
        </w:tc>
        <w:tc>
          <w:tcPr>
            <w:tcW w:w="1250" w:type="dxa"/>
            <w:tcBorders/>
            <w:vAlign w:val="center"/>
          </w:tcPr>
          <w:p>
            <w:pPr>
              <w:pStyle w:val="MDPI42tablebody"/>
              <w:jc w:val="center"/>
            </w:pPr>
            <w:r>
              <w:rPr>
                <w:sz w:val="16"/>
              </w:rPr>
              <w:t>–</w:t>
            </w:r>
          </w:p>
        </w:tc>
        <w:tc>
          <w:tcPr>
            <w:tcW w:w="1250" w:type="dxa"/>
            <w:tcBorders/>
            <w:vAlign w:val="center"/>
          </w:tcPr>
          <w:p>
            <w:pPr>
              <w:pStyle w:val="MDPI42tablebody"/>
              <w:jc w:val="center"/>
            </w:pPr>
            <w:r>
              <w:rPr>
                <w:sz w:val="16"/>
              </w:rPr>
              <w:t>13/52</w:t>
            </w:r>
          </w:p>
        </w:tc>
        <w:tc>
          <w:tcPr>
            <w:tcW w:w="1250" w:type="dxa"/>
            <w:tcBorders/>
            <w:vAlign w:val="center"/>
          </w:tcPr>
          <w:p>
            <w:pPr>
              <w:pStyle w:val="MDPI42tablebody"/>
              <w:jc w:val="center"/>
            </w:pPr>
            <w:r>
              <w:rPr>
                <w:sz w:val="16"/>
              </w:rPr>
              <w:t>–</w:t>
            </w:r>
          </w:p>
        </w:tc>
        <w:tc>
          <w:tcPr>
            <w:tcW w:w="1450" w:type="dxa"/>
            <w:tcBorders/>
            <w:vAlign w:val="center"/>
          </w:tcPr>
          <w:p>
            <w:pPr>
              <w:pStyle w:val="MDPI42tablebody"/>
              <w:jc w:val="center"/>
            </w:pPr>
            <w:r>
              <w:rPr>
                <w:sz w:val="16"/>
              </w:rPr>
              <w:t>10/22</w:t>
            </w:r>
          </w:p>
        </w:tc>
        <w:tc>
          <w:tcPr>
            <w:tcW w:w="1416" w:type="dxa"/>
            <w:tcBorders/>
            <w:vAlign w:val="center"/>
          </w:tcPr>
          <w:p>
            <w:pPr>
              <w:pStyle w:val="MDPI42tablebody"/>
              <w:jc w:val="center"/>
            </w:pPr>
            <w:r>
              <w:rPr>
                <w:sz w:val="16"/>
              </w:rPr>
              <w:t>–</w:t>
            </w:r>
          </w:p>
        </w:tc>
      </w:tr>
      <w:tr>
        <w:trPr>
          <w:cantSplit/>
        </w:trPr>
        <w:tc>
          <w:tcPr>
            <w:tcW w:w="2600" w:type="dxa"/>
            <w:tcBorders/>
            <w:vAlign w:val="center"/>
          </w:tcPr>
          <w:p>
            <w:pPr>
              <w:pStyle w:val="MDPI42tablebody"/>
              <w:jc w:val="left"/>
            </w:pPr>
            <w:r>
              <w:rPr>
                <w:sz w:val="16"/>
              </w:rPr>
              <w:t>Reference log-likelihood</w:t>
            </w:r>
          </w:p>
        </w:tc>
        <w:tc>
          <w:tcPr>
            <w:tcW w:w="1250" w:type="dxa"/>
            <w:tcBorders/>
            <w:vAlign w:val="center"/>
          </w:tcPr>
          <w:p>
            <w:pPr>
              <w:pStyle w:val="MDPI42tablebody"/>
              <w:jc w:val="center"/>
            </w:pPr>
            <w:r>
              <w:rPr>
                <w:sz w:val="16"/>
              </w:rPr>
              <w:t>40/74</w:t>
            </w:r>
          </w:p>
        </w:tc>
        <w:tc>
          <w:tcPr>
            <w:tcW w:w="1250" w:type="dxa"/>
            <w:tcBorders/>
            <w:vAlign w:val="center"/>
          </w:tcPr>
          <w:p>
            <w:pPr>
              <w:pStyle w:val="MDPI42tablebody"/>
              <w:jc w:val="center"/>
            </w:pPr>
            <w:r>
              <w:rPr>
                <w:sz w:val="16"/>
              </w:rPr>
              <w:t>0.64</w:t>
            </w:r>
          </w:p>
        </w:tc>
        <w:tc>
          <w:tcPr>
            <w:tcW w:w="1250" w:type="dxa"/>
            <w:tcBorders/>
            <w:vAlign w:val="center"/>
          </w:tcPr>
          <w:p>
            <w:pPr>
              <w:pStyle w:val="MDPI42tablebody"/>
              <w:jc w:val="center"/>
            </w:pPr>
            <w:r>
              <w:rPr>
                <w:sz w:val="16"/>
              </w:rPr>
              <w:t>20/52</w:t>
            </w:r>
          </w:p>
        </w:tc>
        <w:tc>
          <w:tcPr>
            <w:tcW w:w="1250" w:type="dxa"/>
            <w:tcBorders/>
            <w:vAlign w:val="center"/>
          </w:tcPr>
          <w:p>
            <w:pPr>
              <w:pStyle w:val="MDPI42tablebody"/>
              <w:jc w:val="center"/>
            </w:pPr>
            <w:r>
              <w:rPr>
                <w:sz w:val="16"/>
              </w:rPr>
              <w:t>0.59</w:t>
            </w:r>
          </w:p>
        </w:tc>
        <w:tc>
          <w:tcPr>
            <w:tcW w:w="1450" w:type="dxa"/>
            <w:tcBorders/>
            <w:vAlign w:val="center"/>
          </w:tcPr>
          <w:p>
            <w:pPr>
              <w:pStyle w:val="MDPI42tablebody"/>
              <w:jc w:val="center"/>
            </w:pPr>
            <w:r>
              <w:rPr>
                <w:sz w:val="16"/>
              </w:rPr>
              <w:t>13/22</w:t>
            </w:r>
          </w:p>
        </w:tc>
        <w:tc>
          <w:tcPr>
            <w:tcW w:w="1416" w:type="dxa"/>
            <w:tcBorders/>
            <w:vAlign w:val="center"/>
          </w:tcPr>
          <w:p>
            <w:pPr>
              <w:pStyle w:val="MDPI42tablebody"/>
              <w:jc w:val="center"/>
            </w:pPr>
            <w:r>
              <w:rPr>
                <w:sz w:val="16"/>
              </w:rPr>
              <w:t>0.64</w:t>
            </w:r>
          </w:p>
        </w:tc>
      </w:tr>
      <w:tr>
        <w:trPr>
          <w:cantSplit/>
        </w:trPr>
        <w:tc>
          <w:tcPr>
            <w:tcW w:w="2600" w:type="dxa"/>
            <w:tcBorders/>
            <w:vAlign w:val="center"/>
          </w:tcPr>
          <w:p>
            <w:pPr>
              <w:pStyle w:val="MDPI42tablebody"/>
              <w:jc w:val="left"/>
            </w:pPr>
            <w:r>
              <w:rPr>
                <w:sz w:val="16"/>
              </w:rPr>
              <w:t>KL(sampling ‖ reference)</w:t>
            </w:r>
          </w:p>
        </w:tc>
        <w:tc>
          <w:tcPr>
            <w:tcW w:w="1250" w:type="dxa"/>
            <w:tcBorders/>
            <w:vAlign w:val="center"/>
          </w:tcPr>
          <w:p>
            <w:pPr>
              <w:pStyle w:val="MDPI42tablebody"/>
              <w:jc w:val="center"/>
            </w:pPr>
            <w:r>
              <w:rPr>
                <w:sz w:val="16"/>
              </w:rPr>
              <w:t>27/74</w:t>
            </w:r>
          </w:p>
        </w:tc>
        <w:tc>
          <w:tcPr>
            <w:tcW w:w="1250" w:type="dxa"/>
            <w:tcBorders/>
            <w:vAlign w:val="center"/>
          </w:tcPr>
          <w:p>
            <w:pPr>
              <w:pStyle w:val="MDPI42tablebody"/>
              <w:jc w:val="center"/>
            </w:pPr>
            <w:r>
              <w:rPr>
                <w:sz w:val="16"/>
              </w:rPr>
              <w:t>1.00†</w:t>
            </w:r>
          </w:p>
        </w:tc>
        <w:tc>
          <w:tcPr>
            <w:tcW w:w="1250" w:type="dxa"/>
            <w:tcBorders/>
            <w:vAlign w:val="center"/>
          </w:tcPr>
          <w:p>
            <w:pPr>
              <w:pStyle w:val="MDPI42tablebody"/>
              <w:jc w:val="center"/>
            </w:pPr>
            <w:r>
              <w:rPr>
                <w:sz w:val="16"/>
              </w:rPr>
              <w:t>3/52</w:t>
            </w:r>
          </w:p>
        </w:tc>
        <w:tc>
          <w:tcPr>
            <w:tcW w:w="1250" w:type="dxa"/>
            <w:tcBorders/>
            <w:vAlign w:val="center"/>
          </w:tcPr>
          <w:p>
            <w:pPr>
              <w:pStyle w:val="MDPI42tablebody"/>
              <w:jc w:val="center"/>
            </w:pPr>
            <w:r>
              <w:rPr>
                <w:sz w:val="16"/>
              </w:rPr>
              <w:t>1.00†</w:t>
            </w:r>
          </w:p>
        </w:tc>
        <w:tc>
          <w:tcPr>
            <w:tcW w:w="1450" w:type="dxa"/>
            <w:tcBorders/>
            <w:vAlign w:val="center"/>
          </w:tcPr>
          <w:p>
            <w:pPr>
              <w:pStyle w:val="MDPI42tablebody"/>
              <w:jc w:val="center"/>
            </w:pPr>
            <w:r>
              <w:rPr>
                <w:sz w:val="16"/>
              </w:rPr>
              <w:t>9/22</w:t>
            </w:r>
          </w:p>
        </w:tc>
        <w:tc>
          <w:tcPr>
            <w:tcW w:w="1416" w:type="dxa"/>
            <w:tcBorders/>
            <w:vAlign w:val="center"/>
          </w:tcPr>
          <w:p>
            <w:pPr>
              <w:pStyle w:val="MDPI42tablebody"/>
              <w:jc w:val="center"/>
            </w:pPr>
            <w:r>
              <w:rPr>
                <w:sz w:val="16"/>
              </w:rPr>
              <w:t>1.00†</w:t>
            </w:r>
          </w:p>
        </w:tc>
      </w:tr>
      <w:tr>
        <w:trPr>
          <w:cantSplit/>
        </w:trPr>
        <w:tc>
          <w:tcPr>
            <w:tcW w:w="2600" w:type="dxa"/>
            <w:tcBorders/>
            <w:vAlign w:val="center"/>
          </w:tcPr>
          <w:p>
            <w:pPr>
              <w:pStyle w:val="MDPI42tablebody"/>
              <w:jc w:val="left"/>
            </w:pPr>
            <w:r>
              <w:rPr>
                <w:i/>
                <w:sz w:val="16"/>
              </w:rPr>
              <w:t>T</w:t>
            </w:r>
            <w:r>
              <w:rPr>
                <w:sz w:val="16"/>
              </w:rPr>
              <w:t>eff</w:t>
            </w:r>
            <w:r>
              <w:rPr>
                <w:sz w:val="16"/>
              </w:rPr>
              <w:t xml:space="preserve"> (sample-based)</w:t>
            </w:r>
          </w:p>
        </w:tc>
        <w:tc>
          <w:tcPr>
            <w:tcW w:w="1250" w:type="dxa"/>
            <w:tcBorders/>
            <w:vAlign w:val="center"/>
          </w:tcPr>
          <w:p>
            <w:pPr>
              <w:pStyle w:val="MDPI42tablebody"/>
              <w:jc w:val="center"/>
            </w:pPr>
            <w:r>
              <w:rPr>
                <w:sz w:val="16"/>
              </w:rPr>
              <w:t>17/74</w:t>
            </w:r>
          </w:p>
        </w:tc>
        <w:tc>
          <w:tcPr>
            <w:tcW w:w="1250" w:type="dxa"/>
            <w:tcBorders/>
            <w:vAlign w:val="center"/>
          </w:tcPr>
          <w:p>
            <w:pPr>
              <w:pStyle w:val="MDPI42tablebody"/>
              <w:jc w:val="center"/>
            </w:pPr>
            <w:r>
              <w:rPr>
                <w:sz w:val="16"/>
              </w:rPr>
              <w:t>0.64</w:t>
            </w:r>
          </w:p>
        </w:tc>
        <w:tc>
          <w:tcPr>
            <w:tcW w:w="1250" w:type="dxa"/>
            <w:tcBorders/>
            <w:vAlign w:val="center"/>
          </w:tcPr>
          <w:p>
            <w:pPr>
              <w:pStyle w:val="MDPI42tablebody"/>
              <w:jc w:val="center"/>
            </w:pPr>
            <w:r>
              <w:rPr>
                <w:sz w:val="16"/>
              </w:rPr>
              <w:t>2/52</w:t>
            </w:r>
          </w:p>
        </w:tc>
        <w:tc>
          <w:tcPr>
            <w:tcW w:w="1250" w:type="dxa"/>
            <w:tcBorders/>
            <w:vAlign w:val="center"/>
          </w:tcPr>
          <w:p>
            <w:pPr>
              <w:pStyle w:val="MDPI42tablebody"/>
              <w:jc w:val="center"/>
            </w:pPr>
            <w:r>
              <w:rPr>
                <w:sz w:val="16"/>
              </w:rPr>
              <w:t>0.60</w:t>
            </w:r>
          </w:p>
        </w:tc>
        <w:tc>
          <w:tcPr>
            <w:tcW w:w="1450" w:type="dxa"/>
            <w:tcBorders/>
            <w:vAlign w:val="center"/>
          </w:tcPr>
          <w:p>
            <w:pPr>
              <w:pStyle w:val="MDPI42tablebody"/>
              <w:jc w:val="center"/>
            </w:pPr>
            <w:r>
              <w:rPr>
                <w:sz w:val="16"/>
              </w:rPr>
              <w:t>5/22</w:t>
            </w:r>
          </w:p>
        </w:tc>
        <w:tc>
          <w:tcPr>
            <w:tcW w:w="1416" w:type="dxa"/>
            <w:tcBorders/>
            <w:vAlign w:val="center"/>
          </w:tcPr>
          <w:p>
            <w:pPr>
              <w:pStyle w:val="MDPI42tablebody"/>
              <w:jc w:val="center"/>
            </w:pPr>
            <w:r>
              <w:rPr>
                <w:sz w:val="16"/>
              </w:rPr>
              <w:t>0.65</w:t>
            </w:r>
          </w:p>
        </w:tc>
      </w:tr>
      <w:tr>
        <w:trPr>
          <w:cantSplit/>
        </w:trPr>
        <w:tc>
          <w:tcPr>
            <w:tcW w:w="2600" w:type="dxa"/>
            <w:tcBorders/>
            <w:vAlign w:val="center"/>
          </w:tcPr>
          <w:p>
            <w:pPr>
              <w:pStyle w:val="MDPI42tablebody"/>
              <w:jc w:val="left"/>
            </w:pPr>
            <w:r>
              <w:rPr>
                <w:i/>
                <w:sz w:val="16"/>
              </w:rPr>
              <w:t>T</w:t>
            </w:r>
            <w:r>
              <w:rPr>
                <w:sz w:val="16"/>
              </w:rPr>
              <w:t>eff</w:t>
            </w:r>
            <w:r>
              <w:rPr>
                <w:sz w:val="16"/>
                <w:vertAlign w:val="superscript"/>
              </w:rPr>
              <w:t>dist</w:t>
            </w:r>
            <w:r>
              <w:rPr>
                <w:sz w:val="16"/>
              </w:rPr>
              <w:t xml:space="preserve"> (distributional)</w:t>
            </w:r>
          </w:p>
        </w:tc>
        <w:tc>
          <w:tcPr>
            <w:tcW w:w="1250" w:type="dxa"/>
            <w:tcBorders/>
            <w:vAlign w:val="center"/>
          </w:tcPr>
          <w:p>
            <w:pPr>
              <w:pStyle w:val="MDPI42tablebody"/>
              <w:jc w:val="center"/>
            </w:pPr>
            <w:r>
              <w:rPr>
                <w:sz w:val="16"/>
              </w:rPr>
              <w:t>12/74</w:t>
            </w:r>
          </w:p>
        </w:tc>
        <w:tc>
          <w:tcPr>
            <w:tcW w:w="1250" w:type="dxa"/>
            <w:tcBorders/>
            <w:vAlign w:val="center"/>
          </w:tcPr>
          <w:p>
            <w:pPr>
              <w:pStyle w:val="MDPI42tablebody"/>
              <w:jc w:val="center"/>
            </w:pPr>
            <w:r>
              <w:rPr>
                <w:sz w:val="16"/>
              </w:rPr>
              <w:t>0.91†</w:t>
            </w:r>
          </w:p>
        </w:tc>
        <w:tc>
          <w:tcPr>
            <w:tcW w:w="1250" w:type="dxa"/>
            <w:tcBorders/>
            <w:vAlign w:val="center"/>
          </w:tcPr>
          <w:p>
            <w:pPr>
              <w:pStyle w:val="MDPI42tablebody"/>
              <w:jc w:val="center"/>
            </w:pPr>
            <w:r>
              <w:rPr>
                <w:sz w:val="16"/>
              </w:rPr>
              <w:t>1/52</w:t>
            </w:r>
          </w:p>
        </w:tc>
        <w:tc>
          <w:tcPr>
            <w:tcW w:w="1250" w:type="dxa"/>
            <w:tcBorders/>
            <w:vAlign w:val="center"/>
          </w:tcPr>
          <w:p>
            <w:pPr>
              <w:pStyle w:val="MDPI42tablebody"/>
              <w:jc w:val="center"/>
            </w:pPr>
            <w:r>
              <w:rPr>
                <w:sz w:val="16"/>
              </w:rPr>
              <w:t>0.88†</w:t>
            </w:r>
          </w:p>
        </w:tc>
        <w:tc>
          <w:tcPr>
            <w:tcW w:w="1450" w:type="dxa"/>
            <w:tcBorders/>
            <w:vAlign w:val="center"/>
          </w:tcPr>
          <w:p>
            <w:pPr>
              <w:pStyle w:val="MDPI42tablebody"/>
              <w:jc w:val="center"/>
            </w:pPr>
            <w:r>
              <w:rPr>
                <w:sz w:val="16"/>
              </w:rPr>
              <w:t>4/22</w:t>
            </w:r>
          </w:p>
        </w:tc>
        <w:tc>
          <w:tcPr>
            <w:tcW w:w="1416" w:type="dxa"/>
            <w:tcBorders/>
            <w:vAlign w:val="center"/>
          </w:tcPr>
          <w:p>
            <w:pPr>
              <w:pStyle w:val="MDPI42tablebody"/>
              <w:jc w:val="center"/>
            </w:pPr>
            <w:r>
              <w:rPr>
                <w:sz w:val="16"/>
              </w:rPr>
              <w:t>0.91†</w:t>
            </w:r>
          </w:p>
        </w:tc>
      </w:tr>
      <w:tr>
        <w:trPr>
          <w:cantSplit/>
        </w:trPr>
        <w:tc>
          <w:tcPr>
            <w:tcW w:w="2600" w:type="dxa"/>
            <w:tcBorders>
              <w:bottom w:val="single" w:sz="8" w:space="0" w:color="000000"/>
            </w:tcBorders>
            <w:vAlign w:val="center"/>
          </w:tcPr>
          <w:p>
            <w:pPr>
              <w:pStyle w:val="MDPI42tablebody"/>
              <w:jc w:val="left"/>
            </w:pPr>
            <w:r>
              <w:rPr>
                <w:sz w:val="16"/>
              </w:rPr>
              <w:t>Residual divergence κ</w:t>
            </w:r>
          </w:p>
        </w:tc>
        <w:tc>
          <w:tcPr>
            <w:tcW w:w="1250" w:type="dxa"/>
            <w:tcBorders>
              <w:bottom w:val="single" w:sz="8" w:space="0" w:color="000000"/>
            </w:tcBorders>
            <w:vAlign w:val="center"/>
          </w:tcPr>
          <w:p>
            <w:pPr>
              <w:pStyle w:val="MDPI42tablebody"/>
              <w:jc w:val="center"/>
            </w:pPr>
            <w:r>
              <w:rPr>
                <w:sz w:val="16"/>
              </w:rPr>
              <w:t>18/74</w:t>
            </w:r>
          </w:p>
        </w:tc>
        <w:tc>
          <w:tcPr>
            <w:tcW w:w="1250" w:type="dxa"/>
            <w:tcBorders>
              <w:bottom w:val="single" w:sz="8" w:space="0" w:color="000000"/>
            </w:tcBorders>
            <w:vAlign w:val="center"/>
          </w:tcPr>
          <w:p>
            <w:pPr>
              <w:pStyle w:val="MDPI42tablebody"/>
              <w:jc w:val="center"/>
            </w:pPr>
            <w:r>
              <w:rPr>
                <w:sz w:val="16"/>
              </w:rPr>
              <w:t>–</w:t>
            </w:r>
          </w:p>
        </w:tc>
        <w:tc>
          <w:tcPr>
            <w:tcW w:w="1250" w:type="dxa"/>
            <w:tcBorders>
              <w:bottom w:val="single" w:sz="8" w:space="0" w:color="000000"/>
            </w:tcBorders>
            <w:vAlign w:val="center"/>
          </w:tcPr>
          <w:p>
            <w:pPr>
              <w:pStyle w:val="MDPI42tablebody"/>
              <w:jc w:val="center"/>
            </w:pPr>
            <w:r>
              <w:rPr>
                <w:sz w:val="16"/>
              </w:rPr>
              <w:t>0/52</w:t>
            </w:r>
          </w:p>
        </w:tc>
        <w:tc>
          <w:tcPr>
            <w:tcW w:w="1250" w:type="dxa"/>
            <w:tcBorders>
              <w:bottom w:val="single" w:sz="8" w:space="0" w:color="000000"/>
            </w:tcBorders>
            <w:vAlign w:val="center"/>
          </w:tcPr>
          <w:p>
            <w:pPr>
              <w:pStyle w:val="MDPI42tablebody"/>
              <w:jc w:val="center"/>
            </w:pPr>
            <w:r>
              <w:rPr>
                <w:sz w:val="16"/>
              </w:rPr>
              <w:t>–</w:t>
            </w:r>
          </w:p>
        </w:tc>
        <w:tc>
          <w:tcPr>
            <w:tcW w:w="1450" w:type="dxa"/>
            <w:tcBorders>
              <w:bottom w:val="single" w:sz="8" w:space="0" w:color="000000"/>
            </w:tcBorders>
            <w:vAlign w:val="center"/>
          </w:tcPr>
          <w:p>
            <w:pPr>
              <w:pStyle w:val="MDPI42tablebody"/>
              <w:jc w:val="center"/>
            </w:pPr>
            <w:r>
              <w:rPr>
                <w:sz w:val="16"/>
              </w:rPr>
              <w:t>5/22</w:t>
            </w:r>
          </w:p>
        </w:tc>
        <w:tc>
          <w:tcPr>
            <w:tcW w:w="1416" w:type="dxa"/>
            <w:tcBorders>
              <w:bottom w:val="single" w:sz="8" w:space="0" w:color="000000"/>
            </w:tcBorders>
            <w:vAlign w:val="center"/>
          </w:tcPr>
          <w:p>
            <w:pPr>
              <w:pStyle w:val="MDPI42tablebody"/>
              <w:jc w:val="center"/>
            </w:pPr>
            <w:r>
              <w:rPr>
                <w:sz w:val="16"/>
              </w:rPr>
              <w:t>–</w:t>
            </w:r>
          </w:p>
        </w:tc>
      </w:tr>
    </w:tbl>
    <w:p>
      <w:pPr>
        <w:pStyle w:val="MDPI43tablefooter"/>
      </w:pPr>
      <w:r>
        <w:rPr/>
        <w:t xml:space="preserve">† Inflated by construction: the reference equals the sampling distribution in a clean cell (see text). Margins: 0.10 nats for the reference log-likelihood, KL and κ, and 0.50 for </w:t>
      </w:r>
      <w:r>
        <w:rPr>
          <w:i/>
        </w:rPr>
        <w:t>T</w:t>
      </w:r>
      <w:r>
        <w:rPr/>
        <w:t>eff</w:t>
      </w:r>
      <w:r>
        <w:rPr/>
        <w:t xml:space="preserve"> and </w:t>
      </w:r>
      <w:r>
        <w:rPr>
          <w:i/>
        </w:rPr>
        <w:t>T</w:t>
      </w:r>
      <w:r>
        <w:rPr/>
        <w:t>eff</w:t>
      </w:r>
      <w:r>
        <w:rPr>
          <w:vertAlign w:val="superscript"/>
        </w:rPr>
        <w:t>dist</w:t>
      </w:r>
      <w:r>
        <w:rPr/>
        <w:t>; other margins as in Section 4.6.</w:t>
      </w:r>
    </w:p>
    <w:p>
      <w:pPr>
        <w:pStyle w:val="MDPI31text"/>
      </w:pPr>
      <w:r>
        <w:rPr/>
        <w:t>The decomposition of Section 3.3 shows why. In the pressured cells with a non-negligible divergence (KL of at least 0.05 nats), the best rescaling of the reference removed on average only 26% of the divergence between the sampling distribution and the reference. The remainder is a change in the ordering of the candidates, which no temperature can represent. A temperature fit is useful for stating what share of a context effect is a change of scale, but as a detector it is dominated by the quantities it is computed from.</w:t>
      </w:r>
    </w:p>
    <w:p>
      <w:pPr>
        <w:pStyle w:val="MDPI22heading2"/>
      </w:pPr>
      <w:r>
        <w:rPr/>
        <w:t>5.10. Reference Construction, Saturation Threshold and Uncertainty of the Estimate</w:t>
      </w:r>
    </w:p>
    <w:p>
      <w:pPr>
        <w:pStyle w:val="MDPI31text"/>
      </w:pPr>
      <w:r>
        <w:rPr>
          <w:b/>
        </w:rPr>
        <w:t>Reference construction.</w:t>
      </w:r>
      <w:r>
        <w:rPr/>
        <w:t xml:space="preserve"> The first question is whether the failure of Table 9 is a property of the estimator or of the same-history reference. We took the 25 clean-prompt cells at </w:t>
      </w:r>
      <w:r>
        <w:rPr>
          <w:i/>
        </w:rPr>
        <w:t>T</w:t>
      </w:r>
      <w:r>
        <w:rPr/>
        <w:t xml:space="preserve"> = 0.15 in which at least 90% of the steps repeated the planted item (sticky and strong attractors, four models, four tasks) and computed the three references of Section 3.3 on them (Table 14). With the same-history reference, 3 of 25 cells were identified, and the mean reference probability of the chosen items was above 0.999 in the others: the reference had been captured by the repeated history, as in Table 9. With the gold-repaired history 25 of 25 cells were identified and with the de-duplicated history 25 of 25. In these cells the repaired references gave the chosen item a log-probability at the nominal temperature of the order of -93 nats per step (median; the same value for the de-duplicated reference, see below), against about 0.00 for the same-history reference, so a locked agent that every self-based indicator reported as healthy is conspicuous under a repaired reference. The signal is carried by the reference log-likelihood. The fitted temperature is meaningless at such a misfit, because the chosen item is far below the reference's top choice at every temperature, and its value sits at an arbitrary place on the grid. The de-duplicated reference needs no labels, only a detector of repetition. When the history is a planted item repeated, it coincides exactly with the gold-repaired reference, so the two cannot be told apart here. Two cautions apply. The repaired references measure how far the agent is from what the model would do given a healthy history, so they register the capture by the history, whatever the prompt says, and a clean prompt gets the same huge value as a pressure prompt; this is a different construct from </w:t>
      </w:r>
      <w:r>
        <w:rPr>
          <w:i/>
        </w:rPr>
        <w:t>T</w:t>
      </w:r>
      <w:r>
        <w:rPr/>
        <w:t>eff</w:t>
      </w:r>
      <w:r>
        <w:rPr/>
        <w:t xml:space="preserve"> as defined in Section 3.2. And de-duplication helps only against repetition. A position-blind reference (first item only) always predicted the planted item and was discarded.</w:t>
      </w:r>
    </w:p>
    <w:p>
      <w:pPr>
        <w:pStyle w:val="MDPI41tablecaption"/>
      </w:pPr>
      <w:r>
        <w:rPr>
          <w:b/>
        </w:rPr>
        <w:t xml:space="preserve">Table 14. </w:t>
      </w:r>
      <w:r>
        <w:rPr/>
        <w:t xml:space="preserve"> Reference constructions on locked cells (25 clean-prompt cells at </w:t>
      </w:r>
      <w:r>
        <w:rPr>
          <w:i/>
        </w:rPr>
        <w:t>T</w:t>
      </w:r>
      <w:r>
        <w:rPr/>
        <w:t xml:space="preserve"> = 0.15 with lock-in of at least 0.90, four models) and on the matched clean-versus-distorted comparisons (P0, C0, P0+C0; </w:t>
      </w:r>
      <w:r>
        <w:rPr>
          <w:i/>
        </w:rPr>
        <w:t>T</w:t>
      </w:r>
      <w:r>
        <w:rPr/>
        <w:t xml:space="preserve"> = 0.8, 2.0).</w:t>
      </w:r>
    </w:p>
    <w:tbl>
      <w:tblPr>
        <w:tblW w:w="10466" w:type="dxa"/>
        <w:tblInd w:w="0" w:type="dxa"/>
        <w:tblLayout w:type="fixed"/>
      </w:tblPr>
      <w:tblGrid>
        <w:gridCol w:w="1700"/>
        <w:gridCol w:w="1200"/>
        <w:gridCol w:w="1150"/>
        <w:gridCol w:w="1350"/>
        <w:gridCol w:w="1450"/>
        <w:gridCol w:w="1250"/>
        <w:gridCol w:w="1250"/>
        <w:gridCol w:w="1116"/>
      </w:tblGrid>
      <w:tr>
        <w:trPr>
          <w:cantSplit/>
          <w:tblHeader/>
        </w:trPr>
        <w:tc>
          <w:tcPr>
            <w:tcW w:w="1700" w:type="dxa"/>
            <w:tcBorders>
              <w:top w:val="single" w:sz="8" w:space="0" w:color="000000"/>
              <w:bottom w:val="single" w:sz="4" w:space="0" w:color="000000"/>
            </w:tcBorders>
            <w:vAlign w:val="center"/>
          </w:tcPr>
          <w:p>
            <w:pPr>
              <w:pStyle w:val="MDPI42tablebody"/>
              <w:jc w:val="left"/>
            </w:pPr>
            <w:r>
              <w:rPr>
                <w:b/>
                <w:sz w:val="15"/>
              </w:rPr>
              <w:t>Reference</w:t>
            </w:r>
          </w:p>
        </w:tc>
        <w:tc>
          <w:tcPr>
            <w:tcW w:w="1200" w:type="dxa"/>
            <w:tcBorders>
              <w:top w:val="single" w:sz="8" w:space="0" w:color="000000"/>
              <w:bottom w:val="single" w:sz="4" w:space="0" w:color="000000"/>
            </w:tcBorders>
            <w:vAlign w:val="center"/>
          </w:tcPr>
          <w:p>
            <w:pPr>
              <w:pStyle w:val="MDPI42tablebody"/>
              <w:jc w:val="center"/>
            </w:pPr>
            <w:r>
              <w:rPr>
                <w:b/>
                <w:sz w:val="15"/>
              </w:rPr>
              <w:t>Needs labels</w:t>
            </w:r>
          </w:p>
        </w:tc>
        <w:tc>
          <w:tcPr>
            <w:tcW w:w="1150" w:type="dxa"/>
            <w:tcBorders>
              <w:top w:val="single" w:sz="8" w:space="0" w:color="000000"/>
              <w:bottom w:val="single" w:sz="4" w:space="0" w:color="000000"/>
            </w:tcBorders>
            <w:vAlign w:val="center"/>
          </w:tcPr>
          <w:p>
            <w:pPr>
              <w:pStyle w:val="MDPI42tablebody"/>
              <w:jc w:val="center"/>
            </w:pPr>
            <w:r>
              <w:rPr>
                <w:b/>
                <w:sz w:val="15"/>
              </w:rPr>
              <w:t>Identified, locked cells</w:t>
            </w:r>
          </w:p>
        </w:tc>
        <w:tc>
          <w:tcPr>
            <w:tcW w:w="1350" w:type="dxa"/>
            <w:tcBorders>
              <w:top w:val="single" w:sz="8" w:space="0" w:color="000000"/>
              <w:bottom w:val="single" w:sz="4" w:space="0" w:color="000000"/>
            </w:tcBorders>
            <w:vAlign w:val="center"/>
          </w:tcPr>
          <w:p>
            <w:pPr>
              <w:pStyle w:val="MDPI42tablebody"/>
              <w:jc w:val="center"/>
            </w:pPr>
            <w:r>
              <w:rPr>
                <w:b/>
                <w:sz w:val="15"/>
              </w:rPr>
              <w:t>Median NLL per step, locked cells</w:t>
            </w:r>
          </w:p>
        </w:tc>
        <w:tc>
          <w:tcPr>
            <w:tcW w:w="1450" w:type="dxa"/>
            <w:tcBorders>
              <w:top w:val="single" w:sz="8" w:space="0" w:color="000000"/>
              <w:bottom w:val="single" w:sz="4" w:space="0" w:color="000000"/>
            </w:tcBorders>
            <w:vAlign w:val="center"/>
          </w:tcPr>
          <w:p>
            <w:pPr>
              <w:pStyle w:val="MDPI42tablebody"/>
              <w:jc w:val="center"/>
            </w:pPr>
            <w:r>
              <w:rPr>
                <w:b/>
                <w:sz w:val="15"/>
              </w:rPr>
              <w:t>Chosen = reference top item, locked cells</w:t>
            </w:r>
          </w:p>
        </w:tc>
        <w:tc>
          <w:tcPr>
            <w:tcW w:w="1250" w:type="dxa"/>
            <w:tcBorders>
              <w:top w:val="single" w:sz="8" w:space="0" w:color="000000"/>
              <w:bottom w:val="single" w:sz="4" w:space="0" w:color="000000"/>
            </w:tcBorders>
            <w:vAlign w:val="center"/>
          </w:tcPr>
          <w:p>
            <w:pPr>
              <w:pStyle w:val="MDPI42tablebody"/>
              <w:jc w:val="center"/>
            </w:pPr>
            <w:r>
              <w:rPr>
                <w:b/>
                <w:sz w:val="15"/>
              </w:rPr>
              <w:t>AUC of NLL, clean vs distorted</w:t>
            </w:r>
          </w:p>
        </w:tc>
        <w:tc>
          <w:tcPr>
            <w:tcW w:w="1250" w:type="dxa"/>
            <w:tcBorders>
              <w:top w:val="single" w:sz="8" w:space="0" w:color="000000"/>
              <w:bottom w:val="single" w:sz="4" w:space="0" w:color="000000"/>
            </w:tcBorders>
            <w:vAlign w:val="center"/>
          </w:tcPr>
          <w:p>
            <w:pPr>
              <w:pStyle w:val="MDPI42tablebody"/>
              <w:jc w:val="center"/>
            </w:pPr>
            <w:r>
              <w:rPr>
                <w:b/>
                <w:sz w:val="15"/>
              </w:rPr>
              <w:t xml:space="preserve">AUC of </w:t>
            </w:r>
            <w:r>
              <w:rPr>
                <w:b/>
                <w:i/>
                <w:sz w:val="15"/>
              </w:rPr>
              <w:t>T</w:t>
            </w:r>
            <w:r>
              <w:rPr>
                <w:b/>
                <w:sz w:val="15"/>
              </w:rPr>
              <w:t>eff</w:t>
            </w:r>
            <w:r>
              <w:rPr>
                <w:b/>
                <w:sz w:val="15"/>
              </w:rPr>
              <w:t>, clean vs distorted</w:t>
            </w:r>
          </w:p>
        </w:tc>
        <w:tc>
          <w:tcPr>
            <w:tcW w:w="1116" w:type="dxa"/>
            <w:tcBorders>
              <w:top w:val="single" w:sz="8" w:space="0" w:color="000000"/>
              <w:bottom w:val="single" w:sz="4" w:space="0" w:color="000000"/>
            </w:tcBorders>
            <w:vAlign w:val="center"/>
          </w:tcPr>
          <w:p>
            <w:pPr>
              <w:pStyle w:val="MDPI42tablebody"/>
              <w:jc w:val="center"/>
            </w:pPr>
            <w:r>
              <w:rPr>
                <w:b/>
                <w:sz w:val="15"/>
              </w:rPr>
              <w:t>Identified, all cells</w:t>
            </w:r>
          </w:p>
        </w:tc>
      </w:tr>
      <w:tr>
        <w:trPr>
          <w:cantSplit/>
        </w:trPr>
        <w:tc>
          <w:tcPr>
            <w:tcW w:w="1700" w:type="dxa"/>
            <w:tcBorders/>
            <w:vAlign w:val="center"/>
          </w:tcPr>
          <w:p>
            <w:pPr>
              <w:pStyle w:val="MDPI42tablebody"/>
              <w:jc w:val="left"/>
            </w:pPr>
            <w:r>
              <w:rPr>
                <w:sz w:val="15"/>
              </w:rPr>
              <w:t>Same history (main text)</w:t>
            </w:r>
          </w:p>
        </w:tc>
        <w:tc>
          <w:tcPr>
            <w:tcW w:w="1200" w:type="dxa"/>
            <w:tcBorders/>
            <w:vAlign w:val="center"/>
          </w:tcPr>
          <w:p>
            <w:pPr>
              <w:pStyle w:val="MDPI42tablebody"/>
              <w:jc w:val="center"/>
            </w:pPr>
            <w:r>
              <w:rPr>
                <w:sz w:val="15"/>
              </w:rPr>
              <w:t>no</w:t>
            </w:r>
          </w:p>
        </w:tc>
        <w:tc>
          <w:tcPr>
            <w:tcW w:w="1150" w:type="dxa"/>
            <w:tcBorders/>
            <w:vAlign w:val="center"/>
          </w:tcPr>
          <w:p>
            <w:pPr>
              <w:pStyle w:val="MDPI42tablebody"/>
              <w:jc w:val="center"/>
            </w:pPr>
            <w:r>
              <w:rPr>
                <w:sz w:val="15"/>
              </w:rPr>
              <w:t>3/25</w:t>
            </w:r>
          </w:p>
        </w:tc>
        <w:tc>
          <w:tcPr>
            <w:tcW w:w="1350" w:type="dxa"/>
            <w:tcBorders/>
            <w:vAlign w:val="center"/>
          </w:tcPr>
          <w:p>
            <w:pPr>
              <w:pStyle w:val="MDPI42tablebody"/>
              <w:jc w:val="center"/>
            </w:pPr>
            <w:r>
              <w:rPr>
                <w:sz w:val="15"/>
              </w:rPr>
              <w:t>0.00</w:t>
            </w:r>
          </w:p>
        </w:tc>
        <w:tc>
          <w:tcPr>
            <w:tcW w:w="1450" w:type="dxa"/>
            <w:tcBorders/>
            <w:vAlign w:val="center"/>
          </w:tcPr>
          <w:p>
            <w:pPr>
              <w:pStyle w:val="MDPI42tablebody"/>
              <w:jc w:val="center"/>
            </w:pPr>
            <w:r>
              <w:rPr>
                <w:sz w:val="15"/>
              </w:rPr>
              <w:t>1.00</w:t>
            </w:r>
          </w:p>
        </w:tc>
        <w:tc>
          <w:tcPr>
            <w:tcW w:w="1250" w:type="dxa"/>
            <w:tcBorders/>
            <w:vAlign w:val="center"/>
          </w:tcPr>
          <w:p>
            <w:pPr>
              <w:pStyle w:val="MDPI42tablebody"/>
              <w:jc w:val="center"/>
            </w:pPr>
            <w:r>
              <w:rPr>
                <w:sz w:val="15"/>
              </w:rPr>
              <w:t>0.62</w:t>
            </w:r>
          </w:p>
        </w:tc>
        <w:tc>
          <w:tcPr>
            <w:tcW w:w="1250" w:type="dxa"/>
            <w:tcBorders/>
            <w:vAlign w:val="center"/>
          </w:tcPr>
          <w:p>
            <w:pPr>
              <w:pStyle w:val="MDPI42tablebody"/>
              <w:jc w:val="center"/>
            </w:pPr>
            <w:r>
              <w:rPr>
                <w:sz w:val="15"/>
              </w:rPr>
              <w:t>0.62</w:t>
            </w:r>
          </w:p>
        </w:tc>
        <w:tc>
          <w:tcPr>
            <w:tcW w:w="1116" w:type="dxa"/>
            <w:tcBorders/>
            <w:vAlign w:val="center"/>
          </w:tcPr>
          <w:p>
            <w:pPr>
              <w:pStyle w:val="MDPI42tablebody"/>
              <w:jc w:val="center"/>
            </w:pPr>
            <w:r>
              <w:rPr>
                <w:sz w:val="15"/>
              </w:rPr>
              <w:t>160/208</w:t>
            </w:r>
          </w:p>
        </w:tc>
      </w:tr>
      <w:tr>
        <w:trPr>
          <w:cantSplit/>
        </w:trPr>
        <w:tc>
          <w:tcPr>
            <w:tcW w:w="1700" w:type="dxa"/>
            <w:tcBorders/>
            <w:vAlign w:val="center"/>
          </w:tcPr>
          <w:p>
            <w:pPr>
              <w:pStyle w:val="MDPI42tablebody"/>
              <w:jc w:val="left"/>
            </w:pPr>
            <w:r>
              <w:rPr>
                <w:sz w:val="15"/>
              </w:rPr>
              <w:t>Gold-repaired history</w:t>
            </w:r>
          </w:p>
        </w:tc>
        <w:tc>
          <w:tcPr>
            <w:tcW w:w="1200" w:type="dxa"/>
            <w:tcBorders/>
            <w:vAlign w:val="center"/>
          </w:tcPr>
          <w:p>
            <w:pPr>
              <w:pStyle w:val="MDPI42tablebody"/>
              <w:jc w:val="center"/>
            </w:pPr>
            <w:r>
              <w:rPr>
                <w:sz w:val="15"/>
              </w:rPr>
              <w:t>yes (task order)</w:t>
            </w:r>
          </w:p>
        </w:tc>
        <w:tc>
          <w:tcPr>
            <w:tcW w:w="1150" w:type="dxa"/>
            <w:tcBorders/>
            <w:vAlign w:val="center"/>
          </w:tcPr>
          <w:p>
            <w:pPr>
              <w:pStyle w:val="MDPI42tablebody"/>
              <w:jc w:val="center"/>
            </w:pPr>
            <w:r>
              <w:rPr>
                <w:sz w:val="15"/>
              </w:rPr>
              <w:t>25/25</w:t>
            </w:r>
          </w:p>
        </w:tc>
        <w:tc>
          <w:tcPr>
            <w:tcW w:w="1350" w:type="dxa"/>
            <w:tcBorders/>
            <w:vAlign w:val="center"/>
          </w:tcPr>
          <w:p>
            <w:pPr>
              <w:pStyle w:val="MDPI42tablebody"/>
              <w:jc w:val="center"/>
            </w:pPr>
            <w:r>
              <w:rPr>
                <w:sz w:val="15"/>
              </w:rPr>
              <w:t>93.26</w:t>
            </w:r>
          </w:p>
        </w:tc>
        <w:tc>
          <w:tcPr>
            <w:tcW w:w="1450" w:type="dxa"/>
            <w:tcBorders/>
            <w:vAlign w:val="center"/>
          </w:tcPr>
          <w:p>
            <w:pPr>
              <w:pStyle w:val="MDPI42tablebody"/>
              <w:jc w:val="center"/>
            </w:pPr>
            <w:r>
              <w:rPr>
                <w:sz w:val="15"/>
              </w:rPr>
              <w:t>0.00</w:t>
            </w:r>
          </w:p>
        </w:tc>
        <w:tc>
          <w:tcPr>
            <w:tcW w:w="1250" w:type="dxa"/>
            <w:tcBorders/>
            <w:vAlign w:val="center"/>
          </w:tcPr>
          <w:p>
            <w:pPr>
              <w:pStyle w:val="MDPI42tablebody"/>
              <w:jc w:val="center"/>
            </w:pPr>
            <w:r>
              <w:rPr>
                <w:sz w:val="15"/>
              </w:rPr>
              <w:t>0.61</w:t>
            </w:r>
          </w:p>
        </w:tc>
        <w:tc>
          <w:tcPr>
            <w:tcW w:w="1250" w:type="dxa"/>
            <w:tcBorders/>
            <w:vAlign w:val="center"/>
          </w:tcPr>
          <w:p>
            <w:pPr>
              <w:pStyle w:val="MDPI42tablebody"/>
              <w:jc w:val="center"/>
            </w:pPr>
            <w:r>
              <w:rPr>
                <w:sz w:val="15"/>
              </w:rPr>
              <w:t>0.60</w:t>
            </w:r>
          </w:p>
        </w:tc>
        <w:tc>
          <w:tcPr>
            <w:tcW w:w="1116" w:type="dxa"/>
            <w:tcBorders/>
            <w:vAlign w:val="center"/>
          </w:tcPr>
          <w:p>
            <w:pPr>
              <w:pStyle w:val="MDPI42tablebody"/>
              <w:jc w:val="center"/>
            </w:pPr>
            <w:r>
              <w:rPr>
                <w:sz w:val="15"/>
              </w:rPr>
              <w:t>208/208</w:t>
            </w:r>
          </w:p>
        </w:tc>
      </w:tr>
      <w:tr>
        <w:trPr>
          <w:cantSplit/>
        </w:trPr>
        <w:tc>
          <w:tcPr>
            <w:tcW w:w="1700" w:type="dxa"/>
            <w:tcBorders>
              <w:bottom w:val="single" w:sz="8" w:space="0" w:color="000000"/>
            </w:tcBorders>
            <w:vAlign w:val="center"/>
          </w:tcPr>
          <w:p>
            <w:pPr>
              <w:pStyle w:val="MDPI42tablebody"/>
              <w:jc w:val="left"/>
            </w:pPr>
            <w:r>
              <w:rPr>
                <w:sz w:val="15"/>
              </w:rPr>
              <w:t>De-duplicated history</w:t>
            </w:r>
          </w:p>
        </w:tc>
        <w:tc>
          <w:tcPr>
            <w:tcW w:w="1200" w:type="dxa"/>
            <w:tcBorders>
              <w:bottom w:val="single" w:sz="8" w:space="0" w:color="000000"/>
            </w:tcBorders>
            <w:vAlign w:val="center"/>
          </w:tcPr>
          <w:p>
            <w:pPr>
              <w:pStyle w:val="MDPI42tablebody"/>
              <w:jc w:val="center"/>
            </w:pPr>
            <w:r>
              <w:rPr>
                <w:sz w:val="15"/>
              </w:rPr>
              <w:t>no (repetition detector)</w:t>
            </w:r>
          </w:p>
        </w:tc>
        <w:tc>
          <w:tcPr>
            <w:tcW w:w="1150" w:type="dxa"/>
            <w:tcBorders>
              <w:bottom w:val="single" w:sz="8" w:space="0" w:color="000000"/>
            </w:tcBorders>
            <w:vAlign w:val="center"/>
          </w:tcPr>
          <w:p>
            <w:pPr>
              <w:pStyle w:val="MDPI42tablebody"/>
              <w:jc w:val="center"/>
            </w:pPr>
            <w:r>
              <w:rPr>
                <w:sz w:val="15"/>
              </w:rPr>
              <w:t>25/25</w:t>
            </w:r>
          </w:p>
        </w:tc>
        <w:tc>
          <w:tcPr>
            <w:tcW w:w="1350" w:type="dxa"/>
            <w:tcBorders>
              <w:bottom w:val="single" w:sz="8" w:space="0" w:color="000000"/>
            </w:tcBorders>
            <w:vAlign w:val="center"/>
          </w:tcPr>
          <w:p>
            <w:pPr>
              <w:pStyle w:val="MDPI42tablebody"/>
              <w:jc w:val="center"/>
            </w:pPr>
            <w:r>
              <w:rPr>
                <w:sz w:val="15"/>
              </w:rPr>
              <w:t>93.26</w:t>
            </w:r>
          </w:p>
        </w:tc>
        <w:tc>
          <w:tcPr>
            <w:tcW w:w="1450" w:type="dxa"/>
            <w:tcBorders>
              <w:bottom w:val="single" w:sz="8" w:space="0" w:color="000000"/>
            </w:tcBorders>
            <w:vAlign w:val="center"/>
          </w:tcPr>
          <w:p>
            <w:pPr>
              <w:pStyle w:val="MDPI42tablebody"/>
              <w:jc w:val="center"/>
            </w:pPr>
            <w:r>
              <w:rPr>
                <w:sz w:val="15"/>
              </w:rPr>
              <w:t>0.00</w:t>
            </w:r>
          </w:p>
        </w:tc>
        <w:tc>
          <w:tcPr>
            <w:tcW w:w="1250" w:type="dxa"/>
            <w:tcBorders>
              <w:bottom w:val="single" w:sz="8" w:space="0" w:color="000000"/>
            </w:tcBorders>
            <w:vAlign w:val="center"/>
          </w:tcPr>
          <w:p>
            <w:pPr>
              <w:pStyle w:val="MDPI42tablebody"/>
              <w:jc w:val="center"/>
            </w:pPr>
            <w:r>
              <w:rPr>
                <w:sz w:val="15"/>
              </w:rPr>
              <w:t>0.63</w:t>
            </w:r>
          </w:p>
        </w:tc>
        <w:tc>
          <w:tcPr>
            <w:tcW w:w="1250" w:type="dxa"/>
            <w:tcBorders>
              <w:bottom w:val="single" w:sz="8" w:space="0" w:color="000000"/>
            </w:tcBorders>
            <w:vAlign w:val="center"/>
          </w:tcPr>
          <w:p>
            <w:pPr>
              <w:pStyle w:val="MDPI42tablebody"/>
              <w:jc w:val="center"/>
            </w:pPr>
            <w:r>
              <w:rPr>
                <w:sz w:val="15"/>
              </w:rPr>
              <w:t>0.61</w:t>
            </w:r>
          </w:p>
        </w:tc>
        <w:tc>
          <w:tcPr>
            <w:tcW w:w="1116" w:type="dxa"/>
            <w:tcBorders>
              <w:bottom w:val="single" w:sz="8" w:space="0" w:color="000000"/>
            </w:tcBorders>
            <w:vAlign w:val="center"/>
          </w:tcPr>
          <w:p>
            <w:pPr>
              <w:pStyle w:val="MDPI42tablebody"/>
              <w:jc w:val="center"/>
            </w:pPr>
            <w:r>
              <w:rPr>
                <w:sz w:val="15"/>
              </w:rPr>
              <w:t>208/208</w:t>
            </w:r>
          </w:p>
        </w:tc>
      </w:tr>
    </w:tbl>
    <w:p>
      <w:pPr>
        <w:pStyle w:val="MDPI43tablefooter"/>
      </w:pPr>
      <w:r>
        <w:rPr/>
        <w:t>NLL: negative log-probability of the chosen item under the reference at the nominal temperature. Identified: by the 0.999 rule.</w:t>
      </w:r>
    </w:p>
    <w:p>
      <w:pPr>
        <w:pStyle w:val="MDPI31text"/>
      </w:pPr>
      <w:r>
        <w:rPr>
          <w:b/>
        </w:rPr>
        <w:t>Uncertainty and the saturation threshold.</w:t>
      </w:r>
      <w:r>
        <w:rPr/>
        <w:t xml:space="preserve"> In simulation (Appendix E, Table E1) the likelihood-ratio interval has close to nominal coverage even with six choices (0.95 at τ = 1; 0.91 with 240), but it is wide: the median upper bound is 5.6 times the lower bound with six choices, 1.8 times with 36 and 1.2 times with 240. The real trajectories behaved alike (Table 15): at the trajectory level the median ratio was 9.2, and 92% of trajectories exceeded 4, while at the level of a cell (240 pooled choices) the median ratio was 1.29. An estimate from six choices therefore carries little information on its own, which is consistent with its low AUC in Section 5.9, and only pooled estimates should be interpreted. The fixed saturation threshold is a convention with visible consequences. Over 540 cells of the attractor grid (clean prompt, five temperatures), 87 were not identified at a mean reference probability above 0.99, 70 above 0.999 and 57 above 0.9999, and the interval rule of Section 3.3 left 97 cells unidentified, including 27 that the 0.999 rule counted as identified (Table 16). In the simulation (Table E2) the interval already spans a factor of about 68 at a mean reference probability of 0.988, a level at which the 0.999 rule still declares the cell identified. The matched cells of Section 5.8 are almost unaffected: none exceeded the 0.999 threshold and 290 of 296 pass the interval rule.</w:t>
      </w:r>
    </w:p>
    <w:p>
      <w:pPr>
        <w:pStyle w:val="MDPI41tablecaption"/>
      </w:pPr>
      <w:r>
        <w:rPr>
          <w:b/>
        </w:rPr>
        <w:t xml:space="preserve">Table 15. </w:t>
      </w:r>
      <w:r>
        <w:rPr/>
        <w:t xml:space="preserve"> Width of the 95% likelihood-ratio interval for </w:t>
      </w:r>
      <w:r>
        <w:rPr>
          <w:i/>
        </w:rPr>
        <w:t>T</w:t>
      </w:r>
      <w:r>
        <w:rPr/>
        <w:t>eff</w:t>
      </w:r>
      <w:r>
        <w:rPr/>
        <w:t>: median ratio of the upper to the lower bound.</w:t>
      </w:r>
    </w:p>
    <w:tbl>
      <w:tblPr>
        <w:tblW w:w="10466" w:type="dxa"/>
        <w:tblInd w:w="0" w:type="dxa"/>
        <w:tblLayout w:type="fixed"/>
      </w:tblPr>
      <w:tblGrid>
        <w:gridCol w:w="2600"/>
        <w:gridCol w:w="2600"/>
        <w:gridCol w:w="2800"/>
        <w:gridCol w:w="246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sz w:val="16"/>
              </w:rPr>
              <w:t>Model</w:t>
            </w:r>
          </w:p>
        </w:tc>
        <w:tc>
          <w:tcPr>
            <w:tcW w:w="2600" w:type="dxa"/>
            <w:tcBorders>
              <w:top w:val="single" w:sz="8" w:space="0" w:color="000000"/>
              <w:bottom w:val="single" w:sz="4" w:space="0" w:color="000000"/>
            </w:tcBorders>
            <w:vAlign w:val="center"/>
          </w:tcPr>
          <w:p>
            <w:pPr>
              <w:pStyle w:val="MDPI42tablebody"/>
              <w:jc w:val="center"/>
            </w:pPr>
            <w:r>
              <w:rPr>
                <w:b/>
                <w:sz w:val="16"/>
              </w:rPr>
              <w:t>Trajectory level (six choices)</w:t>
            </w:r>
          </w:p>
        </w:tc>
        <w:tc>
          <w:tcPr>
            <w:tcW w:w="2800" w:type="dxa"/>
            <w:tcBorders>
              <w:top w:val="single" w:sz="8" w:space="0" w:color="000000"/>
              <w:bottom w:val="single" w:sz="4" w:space="0" w:color="000000"/>
            </w:tcBorders>
            <w:vAlign w:val="center"/>
          </w:tcPr>
          <w:p>
            <w:pPr>
              <w:pStyle w:val="MDPI42tablebody"/>
              <w:jc w:val="center"/>
            </w:pPr>
            <w:r>
              <w:rPr>
                <w:b/>
                <w:sz w:val="16"/>
              </w:rPr>
              <w:t>Share of trajectories with ratio above 4</w:t>
            </w:r>
          </w:p>
        </w:tc>
        <w:tc>
          <w:tcPr>
            <w:tcW w:w="2466" w:type="dxa"/>
            <w:tcBorders>
              <w:top w:val="single" w:sz="8" w:space="0" w:color="000000"/>
              <w:bottom w:val="single" w:sz="4" w:space="0" w:color="000000"/>
            </w:tcBorders>
            <w:vAlign w:val="center"/>
          </w:tcPr>
          <w:p>
            <w:pPr>
              <w:pStyle w:val="MDPI42tablebody"/>
              <w:jc w:val="center"/>
            </w:pPr>
            <w:r>
              <w:rPr>
                <w:b/>
                <w:sz w:val="16"/>
              </w:rPr>
              <w:t>Cell level (240 choices)</w:t>
            </w:r>
          </w:p>
        </w:tc>
      </w:tr>
      <w:tr>
        <w:trPr>
          <w:cantSplit/>
        </w:trPr>
        <w:tc>
          <w:tcPr>
            <w:tcW w:w="2600" w:type="dxa"/>
            <w:tcBorders/>
            <w:vAlign w:val="center"/>
          </w:tcPr>
          <w:p>
            <w:pPr>
              <w:pStyle w:val="MDPI42tablebody"/>
              <w:jc w:val="left"/>
            </w:pPr>
            <w:r>
              <w:rPr>
                <w:sz w:val="16"/>
              </w:rPr>
              <w:t>Qwen2.5-0.5B</w:t>
            </w:r>
          </w:p>
        </w:tc>
        <w:tc>
          <w:tcPr>
            <w:tcW w:w="2600" w:type="dxa"/>
            <w:tcBorders/>
            <w:vAlign w:val="center"/>
          </w:tcPr>
          <w:p>
            <w:pPr>
              <w:pStyle w:val="MDPI42tablebody"/>
              <w:jc w:val="center"/>
            </w:pPr>
            <w:r>
              <w:rPr>
                <w:sz w:val="16"/>
              </w:rPr>
              <w:t>9.8</w:t>
            </w:r>
          </w:p>
        </w:tc>
        <w:tc>
          <w:tcPr>
            <w:tcW w:w="2800" w:type="dxa"/>
            <w:tcBorders/>
            <w:vAlign w:val="center"/>
          </w:tcPr>
          <w:p>
            <w:pPr>
              <w:pStyle w:val="MDPI42tablebody"/>
              <w:jc w:val="center"/>
            </w:pPr>
            <w:r>
              <w:rPr>
                <w:sz w:val="16"/>
              </w:rPr>
              <w:t>92%</w:t>
            </w:r>
          </w:p>
        </w:tc>
        <w:tc>
          <w:tcPr>
            <w:tcW w:w="2466" w:type="dxa"/>
            <w:tcBorders/>
            <w:vAlign w:val="center"/>
          </w:tcPr>
          <w:p>
            <w:pPr>
              <w:pStyle w:val="MDPI42tablebody"/>
              <w:jc w:val="center"/>
            </w:pPr>
            <w:r>
              <w:rPr>
                <w:sz w:val="16"/>
              </w:rPr>
              <w:t>1.30</w:t>
            </w:r>
          </w:p>
        </w:tc>
      </w:tr>
      <w:tr>
        <w:trPr>
          <w:cantSplit/>
        </w:trPr>
        <w:tc>
          <w:tcPr>
            <w:tcW w:w="2600" w:type="dxa"/>
            <w:tcBorders/>
            <w:vAlign w:val="center"/>
          </w:tcPr>
          <w:p>
            <w:pPr>
              <w:pStyle w:val="MDPI42tablebody"/>
              <w:jc w:val="left"/>
            </w:pPr>
            <w:r>
              <w:rPr>
                <w:sz w:val="16"/>
              </w:rPr>
              <w:t>Qwen2.5-1.5B</w:t>
            </w:r>
          </w:p>
        </w:tc>
        <w:tc>
          <w:tcPr>
            <w:tcW w:w="2600" w:type="dxa"/>
            <w:tcBorders/>
            <w:vAlign w:val="center"/>
          </w:tcPr>
          <w:p>
            <w:pPr>
              <w:pStyle w:val="MDPI42tablebody"/>
              <w:jc w:val="center"/>
            </w:pPr>
            <w:r>
              <w:rPr>
                <w:sz w:val="16"/>
              </w:rPr>
              <w:t>10.1</w:t>
            </w:r>
          </w:p>
        </w:tc>
        <w:tc>
          <w:tcPr>
            <w:tcW w:w="2800" w:type="dxa"/>
            <w:tcBorders/>
            <w:vAlign w:val="center"/>
          </w:tcPr>
          <w:p>
            <w:pPr>
              <w:pStyle w:val="MDPI42tablebody"/>
              <w:jc w:val="center"/>
            </w:pPr>
            <w:r>
              <w:rPr>
                <w:sz w:val="16"/>
              </w:rPr>
              <w:t>90%</w:t>
            </w:r>
          </w:p>
        </w:tc>
        <w:tc>
          <w:tcPr>
            <w:tcW w:w="2466" w:type="dxa"/>
            <w:tcBorders/>
            <w:vAlign w:val="center"/>
          </w:tcPr>
          <w:p>
            <w:pPr>
              <w:pStyle w:val="MDPI42tablebody"/>
              <w:jc w:val="center"/>
            </w:pPr>
            <w:r>
              <w:rPr>
                <w:sz w:val="16"/>
              </w:rPr>
              <w:t>1.32</w:t>
            </w:r>
          </w:p>
        </w:tc>
      </w:tr>
      <w:tr>
        <w:trPr>
          <w:cantSplit/>
        </w:trPr>
        <w:tc>
          <w:tcPr>
            <w:tcW w:w="2600" w:type="dxa"/>
            <w:tcBorders/>
            <w:vAlign w:val="center"/>
          </w:tcPr>
          <w:p>
            <w:pPr>
              <w:pStyle w:val="MDPI42tablebody"/>
              <w:jc w:val="left"/>
            </w:pPr>
            <w:r>
              <w:rPr>
                <w:sz w:val="16"/>
              </w:rPr>
              <w:t>Llama-3.2-1B</w:t>
            </w:r>
          </w:p>
        </w:tc>
        <w:tc>
          <w:tcPr>
            <w:tcW w:w="2600" w:type="dxa"/>
            <w:tcBorders/>
            <w:vAlign w:val="center"/>
          </w:tcPr>
          <w:p>
            <w:pPr>
              <w:pStyle w:val="MDPI42tablebody"/>
              <w:jc w:val="center"/>
            </w:pPr>
            <w:r>
              <w:rPr>
                <w:sz w:val="16"/>
              </w:rPr>
              <w:t>8.1</w:t>
            </w:r>
          </w:p>
        </w:tc>
        <w:tc>
          <w:tcPr>
            <w:tcW w:w="2800" w:type="dxa"/>
            <w:tcBorders/>
            <w:vAlign w:val="center"/>
          </w:tcPr>
          <w:p>
            <w:pPr>
              <w:pStyle w:val="MDPI42tablebody"/>
              <w:jc w:val="center"/>
            </w:pPr>
            <w:r>
              <w:rPr>
                <w:sz w:val="16"/>
              </w:rPr>
              <w:t>93%</w:t>
            </w:r>
          </w:p>
        </w:tc>
        <w:tc>
          <w:tcPr>
            <w:tcW w:w="2466" w:type="dxa"/>
            <w:tcBorders/>
            <w:vAlign w:val="center"/>
          </w:tcPr>
          <w:p>
            <w:pPr>
              <w:pStyle w:val="MDPI42tablebody"/>
              <w:jc w:val="center"/>
            </w:pPr>
            <w:r>
              <w:rPr>
                <w:sz w:val="16"/>
              </w:rPr>
              <w:t>1.26</w:t>
            </w:r>
          </w:p>
        </w:tc>
      </w:tr>
      <w:tr>
        <w:trPr>
          <w:cantSplit/>
        </w:trPr>
        <w:tc>
          <w:tcPr>
            <w:tcW w:w="2600" w:type="dxa"/>
            <w:tcBorders>
              <w:bottom w:val="single" w:sz="8" w:space="0" w:color="000000"/>
            </w:tcBorders>
            <w:vAlign w:val="center"/>
          </w:tcPr>
          <w:p>
            <w:pPr>
              <w:pStyle w:val="MDPI42tablebody"/>
              <w:jc w:val="left"/>
            </w:pPr>
            <w:r>
              <w:rPr>
                <w:sz w:val="16"/>
              </w:rPr>
              <w:t>SmolLM2-1.7B</w:t>
            </w:r>
          </w:p>
        </w:tc>
        <w:tc>
          <w:tcPr>
            <w:tcW w:w="2600" w:type="dxa"/>
            <w:tcBorders>
              <w:bottom w:val="single" w:sz="8" w:space="0" w:color="000000"/>
            </w:tcBorders>
            <w:vAlign w:val="center"/>
          </w:tcPr>
          <w:p>
            <w:pPr>
              <w:pStyle w:val="MDPI42tablebody"/>
              <w:jc w:val="center"/>
            </w:pPr>
            <w:r>
              <w:rPr>
                <w:sz w:val="16"/>
              </w:rPr>
              <w:t>8.7</w:t>
            </w:r>
          </w:p>
        </w:tc>
        <w:tc>
          <w:tcPr>
            <w:tcW w:w="2800" w:type="dxa"/>
            <w:tcBorders>
              <w:bottom w:val="single" w:sz="8" w:space="0" w:color="000000"/>
            </w:tcBorders>
            <w:vAlign w:val="center"/>
          </w:tcPr>
          <w:p>
            <w:pPr>
              <w:pStyle w:val="MDPI42tablebody"/>
              <w:jc w:val="center"/>
            </w:pPr>
            <w:r>
              <w:rPr>
                <w:sz w:val="16"/>
              </w:rPr>
              <w:t>91%</w:t>
            </w:r>
          </w:p>
        </w:tc>
        <w:tc>
          <w:tcPr>
            <w:tcW w:w="2466" w:type="dxa"/>
            <w:tcBorders>
              <w:bottom w:val="single" w:sz="8" w:space="0" w:color="000000"/>
            </w:tcBorders>
            <w:vAlign w:val="center"/>
          </w:tcPr>
          <w:p>
            <w:pPr>
              <w:pStyle w:val="MDPI42tablebody"/>
              <w:jc w:val="center"/>
            </w:pPr>
            <w:r>
              <w:rPr>
                <w:sz w:val="16"/>
              </w:rPr>
              <w:t>1.28</w:t>
            </w:r>
          </w:p>
        </w:tc>
      </w:tr>
    </w:tbl>
    <w:p>
      <w:pPr>
        <w:pStyle w:val="MDPI41tablecaption"/>
      </w:pPr>
      <w:r>
        <w:rPr>
          <w:b/>
        </w:rPr>
        <w:t xml:space="preserve">Table 16. </w:t>
      </w:r>
      <w:r>
        <w:rPr/>
        <w:t xml:space="preserve"> Sensitivity of the identification flag to the saturation threshold (attractor grid, clean prompt, 180 cells per model).</w:t>
      </w:r>
    </w:p>
    <w:tbl>
      <w:tblPr>
        <w:tblW w:w="10466" w:type="dxa"/>
        <w:tblInd w:w="0" w:type="dxa"/>
        <w:tblLayout w:type="fixed"/>
      </w:tblPr>
      <w:tblGrid>
        <w:gridCol w:w="2400"/>
        <w:gridCol w:w="1800"/>
        <w:gridCol w:w="1300"/>
        <w:gridCol w:w="1300"/>
        <w:gridCol w:w="1500"/>
        <w:gridCol w:w="21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Model</w:t>
            </w:r>
          </w:p>
        </w:tc>
        <w:tc>
          <w:tcPr>
            <w:tcW w:w="1800" w:type="dxa"/>
            <w:tcBorders>
              <w:top w:val="single" w:sz="8" w:space="0" w:color="000000"/>
              <w:bottom w:val="single" w:sz="4" w:space="0" w:color="000000"/>
            </w:tcBorders>
            <w:vAlign w:val="center"/>
          </w:tcPr>
          <w:p>
            <w:pPr>
              <w:pStyle w:val="MDPI42tablebody"/>
              <w:jc w:val="center"/>
            </w:pPr>
            <w:r>
              <w:rPr>
                <w:b/>
                <w:sz w:val="16"/>
              </w:rPr>
              <w:t>Not identified: &gt; 0.99</w:t>
            </w:r>
          </w:p>
        </w:tc>
        <w:tc>
          <w:tcPr>
            <w:tcW w:w="1300" w:type="dxa"/>
            <w:tcBorders>
              <w:top w:val="single" w:sz="8" w:space="0" w:color="000000"/>
              <w:bottom w:val="single" w:sz="4" w:space="0" w:color="000000"/>
            </w:tcBorders>
            <w:vAlign w:val="center"/>
          </w:tcPr>
          <w:p>
            <w:pPr>
              <w:pStyle w:val="MDPI42tablebody"/>
              <w:jc w:val="center"/>
            </w:pPr>
            <w:r>
              <w:rPr>
                <w:b/>
                <w:sz w:val="16"/>
              </w:rPr>
              <w:t>&gt; 0.999</w:t>
            </w:r>
          </w:p>
        </w:tc>
        <w:tc>
          <w:tcPr>
            <w:tcW w:w="1300" w:type="dxa"/>
            <w:tcBorders>
              <w:top w:val="single" w:sz="8" w:space="0" w:color="000000"/>
              <w:bottom w:val="single" w:sz="4" w:space="0" w:color="000000"/>
            </w:tcBorders>
            <w:vAlign w:val="center"/>
          </w:tcPr>
          <w:p>
            <w:pPr>
              <w:pStyle w:val="MDPI42tablebody"/>
              <w:jc w:val="center"/>
            </w:pPr>
            <w:r>
              <w:rPr>
                <w:b/>
                <w:sz w:val="16"/>
              </w:rPr>
              <w:t>&gt; 0.9999</w:t>
            </w:r>
          </w:p>
        </w:tc>
        <w:tc>
          <w:tcPr>
            <w:tcW w:w="1500" w:type="dxa"/>
            <w:tcBorders>
              <w:top w:val="single" w:sz="8" w:space="0" w:color="000000"/>
              <w:bottom w:val="single" w:sz="4" w:space="0" w:color="000000"/>
            </w:tcBorders>
            <w:vAlign w:val="center"/>
          </w:tcPr>
          <w:p>
            <w:pPr>
              <w:pStyle w:val="MDPI42tablebody"/>
              <w:jc w:val="center"/>
            </w:pPr>
            <w:r>
              <w:rPr>
                <w:b/>
                <w:sz w:val="16"/>
              </w:rPr>
              <w:t>Interval rule</w:t>
            </w:r>
          </w:p>
        </w:tc>
        <w:tc>
          <w:tcPr>
            <w:tcW w:w="2166" w:type="dxa"/>
            <w:tcBorders>
              <w:top w:val="single" w:sz="8" w:space="0" w:color="000000"/>
              <w:bottom w:val="single" w:sz="4" w:space="0" w:color="000000"/>
            </w:tcBorders>
            <w:vAlign w:val="center"/>
          </w:tcPr>
          <w:p>
            <w:pPr>
              <w:pStyle w:val="MDPI42tablebody"/>
              <w:jc w:val="center"/>
            </w:pPr>
            <w:r>
              <w:rPr>
                <w:b/>
                <w:sz w:val="16"/>
              </w:rPr>
              <w:t>Interval rule only (≤ 0.999)</w:t>
            </w:r>
          </w:p>
        </w:tc>
      </w:tr>
      <w:tr>
        <w:trPr>
          <w:cantSplit/>
        </w:trPr>
        <w:tc>
          <w:tcPr>
            <w:tcW w:w="2400" w:type="dxa"/>
            <w:tcBorders/>
            <w:vAlign w:val="center"/>
          </w:tcPr>
          <w:p>
            <w:pPr>
              <w:pStyle w:val="MDPI42tablebody"/>
              <w:jc w:val="left"/>
            </w:pPr>
            <w:r>
              <w:rPr>
                <w:sz w:val="16"/>
              </w:rPr>
              <w:t>Llama-3.2-1B</w:t>
            </w:r>
          </w:p>
        </w:tc>
        <w:tc>
          <w:tcPr>
            <w:tcW w:w="1800" w:type="dxa"/>
            <w:tcBorders/>
            <w:vAlign w:val="center"/>
          </w:tcPr>
          <w:p>
            <w:pPr>
              <w:pStyle w:val="MDPI42tablebody"/>
              <w:jc w:val="center"/>
            </w:pPr>
            <w:r>
              <w:rPr>
                <w:sz w:val="16"/>
              </w:rPr>
              <w:t>32</w:t>
            </w:r>
          </w:p>
        </w:tc>
        <w:tc>
          <w:tcPr>
            <w:tcW w:w="1300" w:type="dxa"/>
            <w:tcBorders/>
            <w:vAlign w:val="center"/>
          </w:tcPr>
          <w:p>
            <w:pPr>
              <w:pStyle w:val="MDPI42tablebody"/>
              <w:jc w:val="center"/>
            </w:pPr>
            <w:r>
              <w:rPr>
                <w:sz w:val="16"/>
              </w:rPr>
              <w:t>26</w:t>
            </w:r>
          </w:p>
        </w:tc>
        <w:tc>
          <w:tcPr>
            <w:tcW w:w="1300" w:type="dxa"/>
            <w:tcBorders/>
            <w:vAlign w:val="center"/>
          </w:tcPr>
          <w:p>
            <w:pPr>
              <w:pStyle w:val="MDPI42tablebody"/>
              <w:jc w:val="center"/>
            </w:pPr>
            <w:r>
              <w:rPr>
                <w:sz w:val="16"/>
              </w:rPr>
              <w:t>21</w:t>
            </w:r>
          </w:p>
        </w:tc>
        <w:tc>
          <w:tcPr>
            <w:tcW w:w="1500" w:type="dxa"/>
            <w:tcBorders/>
            <w:vAlign w:val="center"/>
          </w:tcPr>
          <w:p>
            <w:pPr>
              <w:pStyle w:val="MDPI42tablebody"/>
              <w:jc w:val="center"/>
            </w:pPr>
            <w:r>
              <w:rPr>
                <w:sz w:val="16"/>
              </w:rPr>
              <w:t>33</w:t>
            </w:r>
          </w:p>
        </w:tc>
        <w:tc>
          <w:tcPr>
            <w:tcW w:w="2166" w:type="dxa"/>
            <w:tcBorders/>
            <w:vAlign w:val="center"/>
          </w:tcPr>
          <w:p>
            <w:pPr>
              <w:pStyle w:val="MDPI42tablebody"/>
              <w:jc w:val="center"/>
            </w:pPr>
            <w:r>
              <w:rPr>
                <w:sz w:val="16"/>
              </w:rPr>
              <w:t>7</w:t>
            </w:r>
          </w:p>
        </w:tc>
      </w:tr>
      <w:tr>
        <w:trPr>
          <w:cantSplit/>
        </w:trPr>
        <w:tc>
          <w:tcPr>
            <w:tcW w:w="2400" w:type="dxa"/>
            <w:tcBorders/>
            <w:vAlign w:val="center"/>
          </w:tcPr>
          <w:p>
            <w:pPr>
              <w:pStyle w:val="MDPI42tablebody"/>
              <w:jc w:val="left"/>
            </w:pPr>
            <w:r>
              <w:rPr>
                <w:sz w:val="16"/>
              </w:rPr>
              <w:t>Qwen2.5-0.5B</w:t>
            </w:r>
          </w:p>
        </w:tc>
        <w:tc>
          <w:tcPr>
            <w:tcW w:w="1800" w:type="dxa"/>
            <w:tcBorders/>
            <w:vAlign w:val="center"/>
          </w:tcPr>
          <w:p>
            <w:pPr>
              <w:pStyle w:val="MDPI42tablebody"/>
              <w:jc w:val="center"/>
            </w:pPr>
            <w:r>
              <w:rPr>
                <w:sz w:val="16"/>
              </w:rPr>
              <w:t>33</w:t>
            </w:r>
          </w:p>
        </w:tc>
        <w:tc>
          <w:tcPr>
            <w:tcW w:w="1300" w:type="dxa"/>
            <w:tcBorders/>
            <w:vAlign w:val="center"/>
          </w:tcPr>
          <w:p>
            <w:pPr>
              <w:pStyle w:val="MDPI42tablebody"/>
              <w:jc w:val="center"/>
            </w:pPr>
            <w:r>
              <w:rPr>
                <w:sz w:val="16"/>
              </w:rPr>
              <w:t>27</w:t>
            </w:r>
          </w:p>
        </w:tc>
        <w:tc>
          <w:tcPr>
            <w:tcW w:w="1300" w:type="dxa"/>
            <w:tcBorders/>
            <w:vAlign w:val="center"/>
          </w:tcPr>
          <w:p>
            <w:pPr>
              <w:pStyle w:val="MDPI42tablebody"/>
              <w:jc w:val="center"/>
            </w:pPr>
            <w:r>
              <w:rPr>
                <w:sz w:val="16"/>
              </w:rPr>
              <w:t>21</w:t>
            </w:r>
          </w:p>
        </w:tc>
        <w:tc>
          <w:tcPr>
            <w:tcW w:w="1500" w:type="dxa"/>
            <w:tcBorders/>
            <w:vAlign w:val="center"/>
          </w:tcPr>
          <w:p>
            <w:pPr>
              <w:pStyle w:val="MDPI42tablebody"/>
              <w:jc w:val="center"/>
            </w:pPr>
            <w:r>
              <w:rPr>
                <w:sz w:val="16"/>
              </w:rPr>
              <w:t>40</w:t>
            </w:r>
          </w:p>
        </w:tc>
        <w:tc>
          <w:tcPr>
            <w:tcW w:w="2166" w:type="dxa"/>
            <w:tcBorders/>
            <w:vAlign w:val="center"/>
          </w:tcPr>
          <w:p>
            <w:pPr>
              <w:pStyle w:val="MDPI42tablebody"/>
              <w:jc w:val="center"/>
            </w:pPr>
            <w:r>
              <w:rPr>
                <w:sz w:val="16"/>
              </w:rPr>
              <w:t>13</w:t>
            </w:r>
          </w:p>
        </w:tc>
      </w:tr>
      <w:tr>
        <w:trPr>
          <w:cantSplit/>
        </w:trPr>
        <w:tc>
          <w:tcPr>
            <w:tcW w:w="2400" w:type="dxa"/>
            <w:tcBorders>
              <w:bottom w:val="single" w:sz="8" w:space="0" w:color="000000"/>
            </w:tcBorders>
            <w:vAlign w:val="center"/>
          </w:tcPr>
          <w:p>
            <w:pPr>
              <w:pStyle w:val="MDPI42tablebody"/>
              <w:jc w:val="left"/>
            </w:pPr>
            <w:r>
              <w:rPr>
                <w:sz w:val="16"/>
              </w:rPr>
              <w:t>Qwen2.5-1.5B</w:t>
            </w:r>
          </w:p>
        </w:tc>
        <w:tc>
          <w:tcPr>
            <w:tcW w:w="1800" w:type="dxa"/>
            <w:tcBorders>
              <w:bottom w:val="single" w:sz="8" w:space="0" w:color="000000"/>
            </w:tcBorders>
            <w:vAlign w:val="center"/>
          </w:tcPr>
          <w:p>
            <w:pPr>
              <w:pStyle w:val="MDPI42tablebody"/>
              <w:jc w:val="center"/>
            </w:pPr>
            <w:r>
              <w:rPr>
                <w:sz w:val="16"/>
              </w:rPr>
              <w:t>22</w:t>
            </w:r>
          </w:p>
        </w:tc>
        <w:tc>
          <w:tcPr>
            <w:tcW w:w="1300" w:type="dxa"/>
            <w:tcBorders>
              <w:bottom w:val="single" w:sz="8" w:space="0" w:color="000000"/>
            </w:tcBorders>
            <w:vAlign w:val="center"/>
          </w:tcPr>
          <w:p>
            <w:pPr>
              <w:pStyle w:val="MDPI42tablebody"/>
              <w:jc w:val="center"/>
            </w:pPr>
            <w:r>
              <w:rPr>
                <w:sz w:val="16"/>
              </w:rPr>
              <w:t>17</w:t>
            </w:r>
          </w:p>
        </w:tc>
        <w:tc>
          <w:tcPr>
            <w:tcW w:w="1300" w:type="dxa"/>
            <w:tcBorders>
              <w:bottom w:val="single" w:sz="8" w:space="0" w:color="000000"/>
            </w:tcBorders>
            <w:vAlign w:val="center"/>
          </w:tcPr>
          <w:p>
            <w:pPr>
              <w:pStyle w:val="MDPI42tablebody"/>
              <w:jc w:val="center"/>
            </w:pPr>
            <w:r>
              <w:rPr>
                <w:sz w:val="16"/>
              </w:rPr>
              <w:t>15</w:t>
            </w:r>
          </w:p>
        </w:tc>
        <w:tc>
          <w:tcPr>
            <w:tcW w:w="1500" w:type="dxa"/>
            <w:tcBorders>
              <w:bottom w:val="single" w:sz="8" w:space="0" w:color="000000"/>
            </w:tcBorders>
            <w:vAlign w:val="center"/>
          </w:tcPr>
          <w:p>
            <w:pPr>
              <w:pStyle w:val="MDPI42tablebody"/>
              <w:jc w:val="center"/>
            </w:pPr>
            <w:r>
              <w:rPr>
                <w:sz w:val="16"/>
              </w:rPr>
              <w:t>24</w:t>
            </w:r>
          </w:p>
        </w:tc>
        <w:tc>
          <w:tcPr>
            <w:tcW w:w="2166" w:type="dxa"/>
            <w:tcBorders>
              <w:bottom w:val="single" w:sz="8" w:space="0" w:color="000000"/>
            </w:tcBorders>
            <w:vAlign w:val="center"/>
          </w:tcPr>
          <w:p>
            <w:pPr>
              <w:pStyle w:val="MDPI42tablebody"/>
              <w:jc w:val="center"/>
            </w:pPr>
            <w:r>
              <w:rPr>
                <w:sz w:val="16"/>
              </w:rPr>
              <w:t>7</w:t>
            </w:r>
          </w:p>
        </w:tc>
      </w:tr>
    </w:tbl>
    <w:p>
      <w:pPr>
        <w:pStyle w:val="MDPI22heading2"/>
      </w:pPr>
      <w:r>
        <w:rPr/>
        <w:t>5.11. Attractor Strength Without Post-Hoc Selection</w:t>
      </w:r>
    </w:p>
    <w:p>
      <w:pPr>
        <w:pStyle w:val="MDPI31text"/>
      </w:pPr>
      <w:r>
        <w:rPr/>
        <w:t>Section 4.1 selected the strengths after probing the same models and the same prompt, which can make the interior peaks partly a product of the design. We therefore ran the clean-prompt accuracy-temperature curves for the full a-priori grid of planted run lengths (12 values from 1 to 64, five temperatures from 0.15 to 4.0, 20 trajectories per cell) on 3 models and three tasks, and we selected the three regimes in two ways: by the probe rule on the main prompt, as before, and by the same rule on a different wording of the instruction (Appendix D), with fresh trajectories. An interior peak uses the rule of Table 6. Table 17 gives the counts. Selected on the main prompt, sticky attractors showed an interior peak in 7 of 9 model-task pairs, weak attractors in 1 and strong attractors in 2, which is the pattern H2 predicts. Selected on the other wording, the counts were 3 of 9 for sticky, 3 for weak and 0 for strong attractors. The distinction between regimes is therefore sensitive to how the strengths are chosen, and the earlier agreement is partly due to selection on the main prompt. Over the whole grid, with no selection at all, an interior peak appeared for 24 of 108 combinations of model, task and run length, and it was not confined to one band of run lengths.</w:t>
      </w:r>
    </w:p>
    <w:p>
      <w:pPr>
        <w:pStyle w:val="MDPI41tablecaption"/>
      </w:pPr>
      <w:r>
        <w:rPr>
          <w:b/>
        </w:rPr>
        <w:t xml:space="preserve">Table 17. </w:t>
      </w:r>
      <w:r>
        <w:rPr/>
        <w:t xml:space="preserve"> Interior accuracy peaks by attractor regime (number of model-task pairs with a peak, out of the pairs for which the regime exists), with strengths selected on the main prompt or on a different wording, and the number of run lengths with an interior peak over the whole grid (out of 36).</w:t>
      </w:r>
    </w:p>
    <w:tbl>
      <w:tblPr>
        <w:tblW w:w="10466" w:type="dxa"/>
        <w:tblInd w:w="0" w:type="dxa"/>
        <w:tblLayout w:type="fixed"/>
      </w:tblPr>
      <w:tblGrid>
        <w:gridCol w:w="1900"/>
        <w:gridCol w:w="1150"/>
        <w:gridCol w:w="1250"/>
        <w:gridCol w:w="1250"/>
        <w:gridCol w:w="1150"/>
        <w:gridCol w:w="1250"/>
        <w:gridCol w:w="1250"/>
        <w:gridCol w:w="1266"/>
      </w:tblGrid>
      <w:tr>
        <w:trPr>
          <w:cantSplit/>
          <w:tblHeader/>
        </w:trPr>
        <w:tc>
          <w:tcPr>
            <w:tcW w:w="1900" w:type="dxa"/>
            <w:tcBorders>
              <w:top w:val="single" w:sz="8" w:space="0" w:color="000000"/>
              <w:bottom w:val="single" w:sz="4" w:space="0" w:color="000000"/>
            </w:tcBorders>
            <w:vAlign w:val="center"/>
          </w:tcPr>
          <w:p>
            <w:pPr>
              <w:pStyle w:val="MDPI42tablebody"/>
              <w:jc w:val="left"/>
            </w:pPr>
            <w:r>
              <w:rPr>
                <w:b/>
                <w:sz w:val="16"/>
              </w:rPr>
              <w:t>Model</w:t>
            </w:r>
          </w:p>
        </w:tc>
        <w:tc>
          <w:tcPr>
            <w:tcW w:w="1150" w:type="dxa"/>
            <w:tcBorders>
              <w:top w:val="single" w:sz="8" w:space="0" w:color="000000"/>
              <w:bottom w:val="single" w:sz="4" w:space="0" w:color="000000"/>
            </w:tcBorders>
            <w:vAlign w:val="center"/>
          </w:tcPr>
          <w:p>
            <w:pPr>
              <w:pStyle w:val="MDPI42tablebody"/>
              <w:jc w:val="center"/>
            </w:pPr>
            <w:r>
              <w:rPr>
                <w:b/>
                <w:sz w:val="16"/>
              </w:rPr>
              <w:t>Main: weak</w:t>
            </w:r>
          </w:p>
        </w:tc>
        <w:tc>
          <w:tcPr>
            <w:tcW w:w="1250" w:type="dxa"/>
            <w:tcBorders>
              <w:top w:val="single" w:sz="8" w:space="0" w:color="000000"/>
              <w:bottom w:val="single" w:sz="4" w:space="0" w:color="000000"/>
            </w:tcBorders>
            <w:vAlign w:val="center"/>
          </w:tcPr>
          <w:p>
            <w:pPr>
              <w:pStyle w:val="MDPI42tablebody"/>
              <w:jc w:val="center"/>
            </w:pPr>
            <w:r>
              <w:rPr>
                <w:b/>
                <w:sz w:val="16"/>
              </w:rPr>
              <w:t>Main: sticky</w:t>
            </w:r>
          </w:p>
        </w:tc>
        <w:tc>
          <w:tcPr>
            <w:tcW w:w="1250" w:type="dxa"/>
            <w:tcBorders>
              <w:top w:val="single" w:sz="8" w:space="0" w:color="000000"/>
              <w:bottom w:val="single" w:sz="4" w:space="0" w:color="000000"/>
            </w:tcBorders>
            <w:vAlign w:val="center"/>
          </w:tcPr>
          <w:p>
            <w:pPr>
              <w:pStyle w:val="MDPI42tablebody"/>
              <w:jc w:val="center"/>
            </w:pPr>
            <w:r>
              <w:rPr>
                <w:b/>
                <w:sz w:val="16"/>
              </w:rPr>
              <w:t>Main: strong</w:t>
            </w:r>
          </w:p>
        </w:tc>
        <w:tc>
          <w:tcPr>
            <w:tcW w:w="1150" w:type="dxa"/>
            <w:tcBorders>
              <w:top w:val="single" w:sz="8" w:space="0" w:color="000000"/>
              <w:bottom w:val="single" w:sz="4" w:space="0" w:color="000000"/>
            </w:tcBorders>
            <w:vAlign w:val="center"/>
          </w:tcPr>
          <w:p>
            <w:pPr>
              <w:pStyle w:val="MDPI42tablebody"/>
              <w:jc w:val="center"/>
            </w:pPr>
            <w:r>
              <w:rPr>
                <w:b/>
                <w:sz w:val="16"/>
              </w:rPr>
              <w:t>Other: weak</w:t>
            </w:r>
          </w:p>
        </w:tc>
        <w:tc>
          <w:tcPr>
            <w:tcW w:w="1250" w:type="dxa"/>
            <w:tcBorders>
              <w:top w:val="single" w:sz="8" w:space="0" w:color="000000"/>
              <w:bottom w:val="single" w:sz="4" w:space="0" w:color="000000"/>
            </w:tcBorders>
            <w:vAlign w:val="center"/>
          </w:tcPr>
          <w:p>
            <w:pPr>
              <w:pStyle w:val="MDPI42tablebody"/>
              <w:jc w:val="center"/>
            </w:pPr>
            <w:r>
              <w:rPr>
                <w:b/>
                <w:sz w:val="16"/>
              </w:rPr>
              <w:t>Other: sticky</w:t>
            </w:r>
          </w:p>
        </w:tc>
        <w:tc>
          <w:tcPr>
            <w:tcW w:w="1250" w:type="dxa"/>
            <w:tcBorders>
              <w:top w:val="single" w:sz="8" w:space="0" w:color="000000"/>
              <w:bottom w:val="single" w:sz="4" w:space="0" w:color="000000"/>
            </w:tcBorders>
            <w:vAlign w:val="center"/>
          </w:tcPr>
          <w:p>
            <w:pPr>
              <w:pStyle w:val="MDPI42tablebody"/>
              <w:jc w:val="center"/>
            </w:pPr>
            <w:r>
              <w:rPr>
                <w:b/>
                <w:sz w:val="16"/>
              </w:rPr>
              <w:t>Other: strong</w:t>
            </w:r>
          </w:p>
        </w:tc>
        <w:tc>
          <w:tcPr>
            <w:tcW w:w="1266" w:type="dxa"/>
            <w:tcBorders>
              <w:top w:val="single" w:sz="8" w:space="0" w:color="000000"/>
              <w:bottom w:val="single" w:sz="4" w:space="0" w:color="000000"/>
            </w:tcBorders>
            <w:vAlign w:val="center"/>
          </w:tcPr>
          <w:p>
            <w:pPr>
              <w:pStyle w:val="MDPI42tablebody"/>
              <w:jc w:val="center"/>
            </w:pPr>
            <w:r>
              <w:rPr>
                <w:b/>
                <w:sz w:val="16"/>
              </w:rPr>
              <w:t>Whole grid</w:t>
            </w:r>
          </w:p>
        </w:tc>
      </w:tr>
      <w:tr>
        <w:trPr>
          <w:cantSplit/>
        </w:trPr>
        <w:tc>
          <w:tcPr>
            <w:tcW w:w="1900" w:type="dxa"/>
            <w:tcBorders/>
            <w:vAlign w:val="center"/>
          </w:tcPr>
          <w:p>
            <w:pPr>
              <w:pStyle w:val="MDPI42tablebody"/>
              <w:jc w:val="left"/>
            </w:pPr>
            <w:r>
              <w:rPr>
                <w:sz w:val="16"/>
              </w:rPr>
              <w:t>Qwen2.5-0.5B</w:t>
            </w:r>
          </w:p>
        </w:tc>
        <w:tc>
          <w:tcPr>
            <w:tcW w:w="1150" w:type="dxa"/>
            <w:tcBorders/>
            <w:vAlign w:val="center"/>
          </w:tcPr>
          <w:p>
            <w:pPr>
              <w:pStyle w:val="MDPI42tablebody"/>
              <w:jc w:val="center"/>
            </w:pPr>
            <w:r>
              <w:rPr>
                <w:sz w:val="16"/>
              </w:rPr>
              <w:t>0/3</w:t>
            </w:r>
          </w:p>
        </w:tc>
        <w:tc>
          <w:tcPr>
            <w:tcW w:w="1250" w:type="dxa"/>
            <w:tcBorders/>
            <w:vAlign w:val="center"/>
          </w:tcPr>
          <w:p>
            <w:pPr>
              <w:pStyle w:val="MDPI42tablebody"/>
              <w:jc w:val="center"/>
            </w:pPr>
            <w:r>
              <w:rPr>
                <w:sz w:val="16"/>
              </w:rPr>
              <w:t>3/3</w:t>
            </w:r>
          </w:p>
        </w:tc>
        <w:tc>
          <w:tcPr>
            <w:tcW w:w="1250" w:type="dxa"/>
            <w:tcBorders/>
            <w:vAlign w:val="center"/>
          </w:tcPr>
          <w:p>
            <w:pPr>
              <w:pStyle w:val="MDPI42tablebody"/>
              <w:jc w:val="center"/>
            </w:pPr>
            <w:r>
              <w:rPr>
                <w:sz w:val="16"/>
              </w:rPr>
              <w:t>0/3</w:t>
            </w:r>
          </w:p>
        </w:tc>
        <w:tc>
          <w:tcPr>
            <w:tcW w:w="11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2/3</w:t>
            </w:r>
          </w:p>
        </w:tc>
        <w:tc>
          <w:tcPr>
            <w:tcW w:w="1250" w:type="dxa"/>
            <w:tcBorders/>
            <w:vAlign w:val="center"/>
          </w:tcPr>
          <w:p>
            <w:pPr>
              <w:pStyle w:val="MDPI42tablebody"/>
              <w:jc w:val="center"/>
            </w:pPr>
            <w:r>
              <w:rPr>
                <w:sz w:val="16"/>
              </w:rPr>
              <w:t>0/3</w:t>
            </w:r>
          </w:p>
        </w:tc>
        <w:tc>
          <w:tcPr>
            <w:tcW w:w="1266" w:type="dxa"/>
            <w:tcBorders/>
            <w:vAlign w:val="center"/>
          </w:tcPr>
          <w:p>
            <w:pPr>
              <w:pStyle w:val="MDPI42tablebody"/>
              <w:jc w:val="center"/>
            </w:pPr>
            <w:r>
              <w:rPr>
                <w:sz w:val="16"/>
              </w:rPr>
              <w:t>4</w:t>
            </w:r>
          </w:p>
        </w:tc>
      </w:tr>
      <w:tr>
        <w:trPr>
          <w:cantSplit/>
        </w:trPr>
        <w:tc>
          <w:tcPr>
            <w:tcW w:w="1900" w:type="dxa"/>
            <w:tcBorders/>
            <w:vAlign w:val="center"/>
          </w:tcPr>
          <w:p>
            <w:pPr>
              <w:pStyle w:val="MDPI42tablebody"/>
              <w:jc w:val="left"/>
            </w:pPr>
            <w:r>
              <w:rPr>
                <w:sz w:val="16"/>
              </w:rPr>
              <w:t>Qwen2.5-1.5B</w:t>
            </w:r>
          </w:p>
        </w:tc>
        <w:tc>
          <w:tcPr>
            <w:tcW w:w="1150" w:type="dxa"/>
            <w:tcBorders/>
            <w:vAlign w:val="center"/>
          </w:tcPr>
          <w:p>
            <w:pPr>
              <w:pStyle w:val="MDPI42tablebody"/>
              <w:jc w:val="center"/>
            </w:pPr>
            <w:r>
              <w:rPr>
                <w:sz w:val="16"/>
              </w:rPr>
              <w:t>0/3</w:t>
            </w:r>
          </w:p>
        </w:tc>
        <w:tc>
          <w:tcPr>
            <w:tcW w:w="1250" w:type="dxa"/>
            <w:tcBorders/>
            <w:vAlign w:val="center"/>
          </w:tcPr>
          <w:p>
            <w:pPr>
              <w:pStyle w:val="MDPI42tablebody"/>
              <w:jc w:val="center"/>
            </w:pPr>
            <w:r>
              <w:rPr>
                <w:sz w:val="16"/>
              </w:rPr>
              <w:t>2/3</w:t>
            </w:r>
          </w:p>
        </w:tc>
        <w:tc>
          <w:tcPr>
            <w:tcW w:w="1250" w:type="dxa"/>
            <w:tcBorders/>
            <w:vAlign w:val="center"/>
          </w:tcPr>
          <w:p>
            <w:pPr>
              <w:pStyle w:val="MDPI42tablebody"/>
              <w:jc w:val="center"/>
            </w:pPr>
            <w:r>
              <w:rPr>
                <w:sz w:val="16"/>
              </w:rPr>
              <w:t>1/3</w:t>
            </w:r>
          </w:p>
        </w:tc>
        <w:tc>
          <w:tcPr>
            <w:tcW w:w="11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0/3</w:t>
            </w:r>
          </w:p>
        </w:tc>
        <w:tc>
          <w:tcPr>
            <w:tcW w:w="1266" w:type="dxa"/>
            <w:tcBorders/>
            <w:vAlign w:val="center"/>
          </w:tcPr>
          <w:p>
            <w:pPr>
              <w:pStyle w:val="MDPI42tablebody"/>
              <w:jc w:val="center"/>
            </w:pPr>
            <w:r>
              <w:rPr>
                <w:sz w:val="16"/>
              </w:rPr>
              <w:t>11</w:t>
            </w:r>
          </w:p>
        </w:tc>
      </w:tr>
      <w:tr>
        <w:trPr>
          <w:cantSplit/>
        </w:trPr>
        <w:tc>
          <w:tcPr>
            <w:tcW w:w="1900" w:type="dxa"/>
            <w:tcBorders>
              <w:bottom w:val="single" w:sz="8" w:space="0" w:color="000000"/>
            </w:tcBorders>
            <w:vAlign w:val="center"/>
          </w:tcPr>
          <w:p>
            <w:pPr>
              <w:pStyle w:val="MDPI42tablebody"/>
              <w:jc w:val="left"/>
            </w:pPr>
            <w:r>
              <w:rPr>
                <w:sz w:val="16"/>
              </w:rPr>
              <w:t>Llama-3.2-1B</w:t>
            </w:r>
          </w:p>
        </w:tc>
        <w:tc>
          <w:tcPr>
            <w:tcW w:w="1150" w:type="dxa"/>
            <w:tcBorders>
              <w:bottom w:val="single" w:sz="8" w:space="0" w:color="000000"/>
            </w:tcBorders>
            <w:vAlign w:val="center"/>
          </w:tcPr>
          <w:p>
            <w:pPr>
              <w:pStyle w:val="MDPI42tablebody"/>
              <w:jc w:val="center"/>
            </w:pPr>
            <w:r>
              <w:rPr>
                <w:sz w:val="16"/>
              </w:rPr>
              <w:t>1/3</w:t>
            </w:r>
          </w:p>
        </w:tc>
        <w:tc>
          <w:tcPr>
            <w:tcW w:w="1250" w:type="dxa"/>
            <w:tcBorders>
              <w:bottom w:val="single" w:sz="8" w:space="0" w:color="000000"/>
            </w:tcBorders>
            <w:vAlign w:val="center"/>
          </w:tcPr>
          <w:p>
            <w:pPr>
              <w:pStyle w:val="MDPI42tablebody"/>
              <w:jc w:val="center"/>
            </w:pPr>
            <w:r>
              <w:rPr>
                <w:sz w:val="16"/>
              </w:rPr>
              <w:t>2/3</w:t>
            </w:r>
          </w:p>
        </w:tc>
        <w:tc>
          <w:tcPr>
            <w:tcW w:w="1250" w:type="dxa"/>
            <w:tcBorders>
              <w:bottom w:val="single" w:sz="8" w:space="0" w:color="000000"/>
            </w:tcBorders>
            <w:vAlign w:val="center"/>
          </w:tcPr>
          <w:p>
            <w:pPr>
              <w:pStyle w:val="MDPI42tablebody"/>
              <w:jc w:val="center"/>
            </w:pPr>
            <w:r>
              <w:rPr>
                <w:sz w:val="16"/>
              </w:rPr>
              <w:t>1/3</w:t>
            </w:r>
          </w:p>
        </w:tc>
        <w:tc>
          <w:tcPr>
            <w:tcW w:w="1150" w:type="dxa"/>
            <w:tcBorders>
              <w:bottom w:val="single" w:sz="8" w:space="0" w:color="000000"/>
            </w:tcBorders>
            <w:vAlign w:val="center"/>
          </w:tcPr>
          <w:p>
            <w:pPr>
              <w:pStyle w:val="MDPI42tablebody"/>
              <w:jc w:val="center"/>
            </w:pPr>
            <w:r>
              <w:rPr>
                <w:sz w:val="16"/>
              </w:rPr>
              <w:t>1/3</w:t>
            </w:r>
          </w:p>
        </w:tc>
        <w:tc>
          <w:tcPr>
            <w:tcW w:w="1250" w:type="dxa"/>
            <w:tcBorders>
              <w:bottom w:val="single" w:sz="8" w:space="0" w:color="000000"/>
            </w:tcBorders>
            <w:vAlign w:val="center"/>
          </w:tcPr>
          <w:p>
            <w:pPr>
              <w:pStyle w:val="MDPI42tablebody"/>
              <w:jc w:val="center"/>
            </w:pPr>
            <w:r>
              <w:rPr>
                <w:sz w:val="16"/>
              </w:rPr>
              <w:t>0/3</w:t>
            </w:r>
          </w:p>
        </w:tc>
        <w:tc>
          <w:tcPr>
            <w:tcW w:w="1250" w:type="dxa"/>
            <w:tcBorders>
              <w:bottom w:val="single" w:sz="8" w:space="0" w:color="000000"/>
            </w:tcBorders>
            <w:vAlign w:val="center"/>
          </w:tcPr>
          <w:p>
            <w:pPr>
              <w:pStyle w:val="MDPI42tablebody"/>
              <w:jc w:val="center"/>
            </w:pPr>
            <w:r>
              <w:rPr>
                <w:sz w:val="16"/>
              </w:rPr>
              <w:t>0/3</w:t>
            </w:r>
          </w:p>
        </w:tc>
        <w:tc>
          <w:tcPr>
            <w:tcW w:w="1266" w:type="dxa"/>
            <w:tcBorders>
              <w:bottom w:val="single" w:sz="8" w:space="0" w:color="000000"/>
            </w:tcBorders>
            <w:vAlign w:val="center"/>
          </w:tcPr>
          <w:p>
            <w:pPr>
              <w:pStyle w:val="MDPI42tablebody"/>
              <w:jc w:val="center"/>
            </w:pPr>
            <w:r>
              <w:rPr>
                <w:sz w:val="16"/>
              </w:rPr>
              <w:t>9</w:t>
            </w:r>
          </w:p>
        </w:tc>
      </w:tr>
    </w:tbl>
    <w:p>
      <w:pPr>
        <w:pStyle w:val="MDPI31text"/>
      </w:pPr>
      <w:r>
        <w:rPr/>
        <w:t xml:space="preserve">Two strong attractors selected on the main prompt also showed an interior peak: Qwen2.5-1.5B, alphabet, </w:t>
      </w:r>
      <w:r>
        <w:rPr>
          <w:i/>
        </w:rPr>
        <w:t>m</w:t>
      </w:r>
      <w:r>
        <w:rPr/>
        <w:t xml:space="preserve"> = 24 (peak at </w:t>
      </w:r>
      <w:r>
        <w:rPr>
          <w:i/>
        </w:rPr>
        <w:t>T</w:t>
      </w:r>
      <w:r>
        <w:rPr/>
        <w:t xml:space="preserve"> = 1.5, accuracy 0.19); Llama-3.2-1B, planets, </w:t>
      </w:r>
      <w:r>
        <w:rPr>
          <w:i/>
        </w:rPr>
        <w:t>m</w:t>
      </w:r>
      <w:r>
        <w:rPr/>
        <w:t xml:space="preserve"> = 16 (peak at </w:t>
      </w:r>
      <w:r>
        <w:rPr>
          <w:i/>
        </w:rPr>
        <w:t>T</w:t>
      </w:r>
      <w:r>
        <w:rPr/>
        <w:t xml:space="preserve"> = 2.5, accuracy 0.21). In both cases the peak lies inside the grid and the peak accuracy is low. This agrees with the stylised model of Section 3.4, in which strength is continuous and the existence of a peak depends on the number of candidates and on the spread of the other candidates as well as on the attractor, so that a longer run is not always "too strong". With only five temperatures and 20 trajectories per cell these curves cannot locate a peak precisely, and H2 is best read as: interior peaks occur for a minority of run lengths in a task- and model-dependent way, without a sharp boundary between sticky and strong attractors.</w:t>
      </w:r>
    </w:p>
    <w:p>
      <w:pPr>
        <w:pStyle w:val="MDPI22heading2"/>
      </w:pPr>
      <w:r>
        <w:rPr/>
        <w:t>5.12. Full-Vocabulary Generation and Entailment-Clustered Semantic Entropy</w:t>
      </w:r>
    </w:p>
    <w:p>
      <w:pPr>
        <w:pStyle w:val="MDPI31text"/>
      </w:pPr>
      <w:r>
        <w:rPr/>
        <w:t xml:space="preserve">The main experiments restrict each choice to the first tokens of the candidate items. In free generation there is no such restriction: each token is drawn from the whole vocabulary of the model, the reference is the clean-context distribution over the same vocabulary, and the estimator sums over tens of thousands of alternatives. Two things change. First, the meaning of the temperature. At </w:t>
      </w:r>
      <w:r>
        <w:rPr>
          <w:i/>
        </w:rPr>
        <w:t>T</w:t>
      </w:r>
      <w:r>
        <w:rPr/>
        <w:t xml:space="preserve"> = 0.8 the mean entropy per generated token was 0.40 nats, whereas at </w:t>
      </w:r>
      <w:r>
        <w:rPr>
          <w:i/>
        </w:rPr>
        <w:t>T</w:t>
      </w:r>
      <w:r>
        <w:rPr/>
        <w:t xml:space="preserve"> = 2.0 it was 10.5 nats, which is close to the logarithm of the vocabulary size (about 12 nats), and the sampled text is no longer a list; the first generated token was one of the candidates in only 0 to 70% of the completions. At </w:t>
      </w:r>
      <w:r>
        <w:rPr>
          <w:i/>
        </w:rPr>
        <w:t>T</w:t>
      </w:r>
      <w:r>
        <w:rPr/>
        <w:t xml:space="preserve"> = 2.0 the full-vocabulary estimate sat within two grid steps of the nominal temperature in every condition (1.82 to 2.16) and its interval spanned at most two grid points, because tens of thousands of tail tokens dominate the likelihood. It therefore carries no information about the context there. Second, restriction to the candidates changes the estimate for the same choices. For the first generated token, when the token was one of the candidates, the median ratio of the restricted to the full-vocabulary estimate was 1.00 at </w:t>
      </w:r>
      <w:r>
        <w:rPr>
          <w:i/>
        </w:rPr>
        <w:t>T</w:t>
      </w:r>
      <w:r>
        <w:rPr/>
        <w:t xml:space="preserve"> = 0.8 and 1.19 at </w:t>
      </w:r>
      <w:r>
        <w:rPr>
          <w:i/>
        </w:rPr>
        <w:t>T</w:t>
      </w:r>
      <w:r>
        <w:rPr/>
        <w:t xml:space="preserve"> = 2.0 (the probability mass outside the candidate set is removed by the restriction, so the restricted estimate is not an estimate of the same quantity). The temperature reading of the estimator is thus tied to the support on which it is computed, and values from Section 5 should not be compared with full-vocabulary values.</w:t>
      </w:r>
    </w:p>
    <w:p>
      <w:pPr>
        <w:pStyle w:val="MDPI31text"/>
      </w:pPr>
      <w:r>
        <w:rPr/>
        <w:t xml:space="preserve">Table 18 compares the indicators on the free-generation cells, with semantic entropy computed after clustering the 20 completions of each cell with an entailment model, in both directions and given the task instruction, and with the exact-match version for comparison. Entailment clustering reduced the number of distinct completions drastically (for instance from 20 to 2 or 3 clusters in several low-temperature cells), so the exact-match entropy of Section 5.6 was a poor proxy for the clustered one. It remained a weak detector. Pooled over the two models and four condition types, the entailment-clustered entropy flagged 10 of 32 distorted cells, token entropy 16, the reference log-likelihood 17, and </w:t>
      </w:r>
      <w:r>
        <w:rPr>
          <w:i/>
        </w:rPr>
        <w:t>T</w:t>
      </w:r>
      <w:r>
        <w:rPr/>
        <w:t>eff</w:t>
      </w:r>
      <w:r>
        <w:rPr/>
        <w:t xml:space="preserve"> 0. The temperature fit did not flag any distorted cell in free generation, and none of the indicators separated the conditions well. We cannot say whether the entailment model clusters near-repetitive list text in a meaningful way.</w:t>
      </w:r>
    </w:p>
    <w:p>
      <w:pPr>
        <w:pStyle w:val="MDPI41tablecaption"/>
      </w:pPr>
      <w:r>
        <w:rPr>
          <w:b/>
        </w:rPr>
        <w:t xml:space="preserve">Table 18. </w:t>
      </w:r>
      <w:r>
        <w:rPr/>
        <w:t xml:space="preserve"> Free generation with the full vocabulary (Qwen2.5-1.5B and Llama-3.2-1B; alphabet and months; </w:t>
      </w:r>
      <w:r>
        <w:rPr>
          <w:i/>
        </w:rPr>
        <w:t>T</w:t>
      </w:r>
      <w:r>
        <w:rPr/>
        <w:t xml:space="preserve"> = 0.8 and 2.0; 20 completions per cell): distorted cells flagged out of eight per condition, and mean two-sided trajectory-level AUC against the matched clean cell.</w:t>
      </w:r>
    </w:p>
    <w:tbl>
      <w:tblPr>
        <w:tblW w:w="10466" w:type="dxa"/>
        <w:tblInd w:w="0" w:type="dxa"/>
        <w:tblLayout w:type="fixed"/>
      </w:tblPr>
      <w:tblGrid>
        <w:gridCol w:w="1100"/>
        <w:gridCol w:w="950"/>
        <w:gridCol w:w="1100"/>
        <w:gridCol w:w="800"/>
        <w:gridCol w:w="900"/>
        <w:gridCol w:w="1200"/>
        <w:gridCol w:w="1200"/>
        <w:gridCol w:w="1050"/>
        <w:gridCol w:w="1050"/>
        <w:gridCol w:w="1116"/>
      </w:tblGrid>
      <w:tr>
        <w:trPr>
          <w:cantSplit/>
          <w:tblHeader/>
        </w:trPr>
        <w:tc>
          <w:tcPr>
            <w:tcW w:w="1100" w:type="dxa"/>
            <w:tcBorders>
              <w:top w:val="single" w:sz="8" w:space="0" w:color="000000"/>
              <w:bottom w:val="single" w:sz="4" w:space="0" w:color="000000"/>
            </w:tcBorders>
            <w:vAlign w:val="center"/>
          </w:tcPr>
          <w:p>
            <w:pPr>
              <w:pStyle w:val="MDPI42tablebody"/>
              <w:jc w:val="left"/>
            </w:pPr>
            <w:r>
              <w:rPr>
                <w:b/>
                <w:sz w:val="16"/>
              </w:rPr>
              <w:t>Condition</w:t>
            </w:r>
          </w:p>
        </w:tc>
        <w:tc>
          <w:tcPr>
            <w:tcW w:w="950" w:type="dxa"/>
            <w:tcBorders>
              <w:top w:val="single" w:sz="8" w:space="0" w:color="000000"/>
              <w:bottom w:val="single" w:sz="4" w:space="0" w:color="000000"/>
            </w:tcBorders>
            <w:vAlign w:val="center"/>
          </w:tcPr>
          <w:p>
            <w:pPr>
              <w:pStyle w:val="MDPI42tablebody"/>
              <w:jc w:val="center"/>
            </w:pPr>
            <w:r>
              <w:rPr>
                <w:b/>
                <w:sz w:val="16"/>
              </w:rPr>
              <w:t>Entropy</w:t>
            </w:r>
          </w:p>
        </w:tc>
        <w:tc>
          <w:tcPr>
            <w:tcW w:w="1100" w:type="dxa"/>
            <w:tcBorders>
              <w:top w:val="single" w:sz="8" w:space="0" w:color="000000"/>
              <w:bottom w:val="single" w:sz="4" w:space="0" w:color="000000"/>
            </w:tcBorders>
            <w:vAlign w:val="center"/>
          </w:tcPr>
          <w:p>
            <w:pPr>
              <w:pStyle w:val="MDPI42tablebody"/>
              <w:jc w:val="center"/>
            </w:pPr>
            <w:r>
              <w:rPr>
                <w:b/>
                <w:sz w:val="16"/>
              </w:rPr>
              <w:t>Ref. log-lik.</w:t>
            </w:r>
          </w:p>
        </w:tc>
        <w:tc>
          <w:tcPr>
            <w:tcW w:w="800" w:type="dxa"/>
            <w:tcBorders>
              <w:top w:val="single" w:sz="8" w:space="0" w:color="000000"/>
              <w:bottom w:val="single" w:sz="4" w:space="0" w:color="000000"/>
            </w:tcBorders>
            <w:vAlign w:val="center"/>
          </w:tcPr>
          <w:p>
            <w:pPr>
              <w:pStyle w:val="MDPI42tablebody"/>
              <w:jc w:val="center"/>
            </w:pPr>
            <w:r>
              <w:rPr>
                <w:b/>
                <w:sz w:val="16"/>
              </w:rPr>
              <w:t>KL</w:t>
            </w:r>
          </w:p>
        </w:tc>
        <w:tc>
          <w:tcPr>
            <w:tcW w:w="900" w:type="dxa"/>
            <w:tcBorders>
              <w:top w:val="single" w:sz="8" w:space="0" w:color="000000"/>
              <w:bottom w:val="single" w:sz="4" w:space="0" w:color="000000"/>
            </w:tcBorders>
            <w:vAlign w:val="center"/>
          </w:tcPr>
          <w:p>
            <w:pPr>
              <w:pStyle w:val="MDPI42tablebody"/>
              <w:jc w:val="center"/>
            </w:pPr>
            <w:r>
              <w:rPr>
                <w:b/>
                <w:i/>
                <w:sz w:val="16"/>
              </w:rPr>
              <w:t>T</w:t>
            </w:r>
            <w:r>
              <w:rPr>
                <w:b/>
                <w:sz w:val="16"/>
              </w:rPr>
              <w:t>eff</w:t>
            </w:r>
          </w:p>
        </w:tc>
        <w:tc>
          <w:tcPr>
            <w:tcW w:w="1200" w:type="dxa"/>
            <w:tcBorders>
              <w:top w:val="single" w:sz="8" w:space="0" w:color="000000"/>
              <w:bottom w:val="single" w:sz="4" w:space="0" w:color="000000"/>
            </w:tcBorders>
            <w:vAlign w:val="center"/>
          </w:tcPr>
          <w:p>
            <w:pPr>
              <w:pStyle w:val="MDPI42tablebody"/>
              <w:jc w:val="center"/>
            </w:pPr>
            <w:r>
              <w:rPr>
                <w:b/>
                <w:sz w:val="16"/>
              </w:rPr>
              <w:t>Exact-match SE</w:t>
            </w:r>
          </w:p>
        </w:tc>
        <w:tc>
          <w:tcPr>
            <w:tcW w:w="1200" w:type="dxa"/>
            <w:tcBorders>
              <w:top w:val="single" w:sz="8" w:space="0" w:color="000000"/>
              <w:bottom w:val="single" w:sz="4" w:space="0" w:color="000000"/>
            </w:tcBorders>
            <w:vAlign w:val="center"/>
          </w:tcPr>
          <w:p>
            <w:pPr>
              <w:pStyle w:val="MDPI42tablebody"/>
              <w:jc w:val="center"/>
            </w:pPr>
            <w:r>
              <w:rPr>
                <w:b/>
                <w:sz w:val="16"/>
              </w:rPr>
              <w:t>Entailment SE</w:t>
            </w:r>
          </w:p>
        </w:tc>
        <w:tc>
          <w:tcPr>
            <w:tcW w:w="1050" w:type="dxa"/>
            <w:tcBorders>
              <w:top w:val="single" w:sz="8" w:space="0" w:color="000000"/>
              <w:bottom w:val="single" w:sz="4" w:space="0" w:color="000000"/>
            </w:tcBorders>
            <w:vAlign w:val="center"/>
          </w:tcPr>
          <w:p>
            <w:pPr>
              <w:pStyle w:val="MDPI42tablebody"/>
              <w:jc w:val="center"/>
            </w:pPr>
            <w:r>
              <w:rPr>
                <w:b/>
                <w:sz w:val="16"/>
              </w:rPr>
              <w:t>AUC: entropy</w:t>
            </w:r>
          </w:p>
        </w:tc>
        <w:tc>
          <w:tcPr>
            <w:tcW w:w="1050" w:type="dxa"/>
            <w:tcBorders>
              <w:top w:val="single" w:sz="8" w:space="0" w:color="000000"/>
              <w:bottom w:val="single" w:sz="4" w:space="0" w:color="000000"/>
            </w:tcBorders>
            <w:vAlign w:val="center"/>
          </w:tcPr>
          <w:p>
            <w:pPr>
              <w:pStyle w:val="MDPI42tablebody"/>
              <w:jc w:val="center"/>
            </w:pPr>
            <w:r>
              <w:rPr>
                <w:b/>
                <w:sz w:val="16"/>
              </w:rPr>
              <w:t>AUC: log-lik.</w:t>
            </w:r>
          </w:p>
        </w:tc>
        <w:tc>
          <w:tcPr>
            <w:tcW w:w="1116" w:type="dxa"/>
            <w:tcBorders>
              <w:top w:val="single" w:sz="8" w:space="0" w:color="000000"/>
              <w:bottom w:val="single" w:sz="4" w:space="0" w:color="000000"/>
            </w:tcBorders>
            <w:vAlign w:val="center"/>
          </w:tcPr>
          <w:p>
            <w:pPr>
              <w:pStyle w:val="MDPI42tablebody"/>
              <w:jc w:val="center"/>
            </w:pPr>
            <w:r>
              <w:rPr>
                <w:b/>
                <w:sz w:val="16"/>
              </w:rPr>
              <w:t xml:space="preserve">AUC: </w:t>
            </w:r>
            <w:r>
              <w:rPr>
                <w:b/>
                <w:i/>
                <w:sz w:val="16"/>
              </w:rPr>
              <w:t>T</w:t>
            </w:r>
            <w:r>
              <w:rPr>
                <w:b/>
                <w:sz w:val="16"/>
              </w:rPr>
              <w:t>eff</w:t>
            </w:r>
          </w:p>
        </w:tc>
      </w:tr>
      <w:tr>
        <w:trPr>
          <w:cantSplit/>
        </w:trPr>
        <w:tc>
          <w:tcPr>
            <w:tcW w:w="1100" w:type="dxa"/>
            <w:tcBorders/>
            <w:vAlign w:val="center"/>
          </w:tcPr>
          <w:p>
            <w:pPr>
              <w:pStyle w:val="MDPI42tablebody"/>
              <w:jc w:val="left"/>
            </w:pPr>
            <w:r>
              <w:rPr>
                <w:sz w:val="16"/>
              </w:rPr>
              <w:t>P0</w:t>
            </w:r>
          </w:p>
        </w:tc>
        <w:tc>
          <w:tcPr>
            <w:tcW w:w="950" w:type="dxa"/>
            <w:tcBorders/>
            <w:vAlign w:val="center"/>
          </w:tcPr>
          <w:p>
            <w:pPr>
              <w:pStyle w:val="MDPI42tablebody"/>
              <w:jc w:val="center"/>
            </w:pPr>
            <w:r>
              <w:rPr>
                <w:sz w:val="16"/>
              </w:rPr>
              <w:t>3/8</w:t>
            </w:r>
          </w:p>
        </w:tc>
        <w:tc>
          <w:tcPr>
            <w:tcW w:w="1100" w:type="dxa"/>
            <w:tcBorders/>
            <w:vAlign w:val="center"/>
          </w:tcPr>
          <w:p>
            <w:pPr>
              <w:pStyle w:val="MDPI42tablebody"/>
              <w:jc w:val="center"/>
            </w:pPr>
            <w:r>
              <w:rPr>
                <w:sz w:val="16"/>
              </w:rPr>
              <w:t>1/8</w:t>
            </w:r>
          </w:p>
        </w:tc>
        <w:tc>
          <w:tcPr>
            <w:tcW w:w="800" w:type="dxa"/>
            <w:tcBorders/>
            <w:vAlign w:val="center"/>
          </w:tcPr>
          <w:p>
            <w:pPr>
              <w:pStyle w:val="MDPI42tablebody"/>
              <w:jc w:val="center"/>
            </w:pPr>
            <w:r>
              <w:rPr>
                <w:sz w:val="16"/>
              </w:rPr>
              <w:t>2/8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0.66</w:t>
            </w:r>
          </w:p>
        </w:tc>
        <w:tc>
          <w:tcPr>
            <w:tcW w:w="1050" w:type="dxa"/>
            <w:tcBorders/>
            <w:vAlign w:val="center"/>
          </w:tcPr>
          <w:p>
            <w:pPr>
              <w:pStyle w:val="MDPI42tablebody"/>
              <w:jc w:val="center"/>
            </w:pPr>
            <w:r>
              <w:rPr>
                <w:sz w:val="16"/>
              </w:rPr>
              <w:t>0.60</w:t>
            </w:r>
          </w:p>
        </w:tc>
        <w:tc>
          <w:tcPr>
            <w:tcW w:w="1116" w:type="dxa"/>
            <w:tcBorders/>
            <w:vAlign w:val="center"/>
          </w:tcPr>
          <w:p>
            <w:pPr>
              <w:pStyle w:val="MDPI42tablebody"/>
              <w:jc w:val="center"/>
            </w:pPr>
            <w:r>
              <w:rPr>
                <w:sz w:val="16"/>
              </w:rPr>
              <w:t>0.59</w:t>
            </w:r>
          </w:p>
        </w:tc>
      </w:tr>
      <w:tr>
        <w:trPr>
          <w:cantSplit/>
        </w:trPr>
        <w:tc>
          <w:tcPr>
            <w:tcW w:w="1100" w:type="dxa"/>
            <w:tcBorders/>
            <w:vAlign w:val="center"/>
          </w:tcPr>
          <w:p>
            <w:pPr>
              <w:pStyle w:val="MDPI42tablebody"/>
              <w:jc w:val="left"/>
            </w:pPr>
            <w:r>
              <w:rPr>
                <w:sz w:val="16"/>
              </w:rPr>
              <w:t>C0</w:t>
            </w:r>
          </w:p>
        </w:tc>
        <w:tc>
          <w:tcPr>
            <w:tcW w:w="950" w:type="dxa"/>
            <w:tcBorders/>
            <w:vAlign w:val="center"/>
          </w:tcPr>
          <w:p>
            <w:pPr>
              <w:pStyle w:val="MDPI42tablebody"/>
              <w:jc w:val="center"/>
            </w:pPr>
            <w:r>
              <w:rPr>
                <w:sz w:val="16"/>
              </w:rPr>
              <w:t>4/8</w:t>
            </w:r>
          </w:p>
        </w:tc>
        <w:tc>
          <w:tcPr>
            <w:tcW w:w="1100" w:type="dxa"/>
            <w:tcBorders/>
            <w:vAlign w:val="center"/>
          </w:tcPr>
          <w:p>
            <w:pPr>
              <w:pStyle w:val="MDPI42tablebody"/>
              <w:jc w:val="center"/>
            </w:pPr>
            <w:r>
              <w:rPr>
                <w:sz w:val="16"/>
              </w:rPr>
              <w:t>6/8</w:t>
            </w:r>
          </w:p>
        </w:tc>
        <w:tc>
          <w:tcPr>
            <w:tcW w:w="800" w:type="dxa"/>
            <w:tcBorders/>
            <w:vAlign w:val="center"/>
          </w:tcPr>
          <w:p>
            <w:pPr>
              <w:pStyle w:val="MDPI42tablebody"/>
              <w:jc w:val="center"/>
            </w:pPr>
            <w:r>
              <w:rPr>
                <w:sz w:val="16"/>
              </w:rPr>
              <w:t>1/8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1/8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0.61</w:t>
            </w:r>
          </w:p>
        </w:tc>
        <w:tc>
          <w:tcPr>
            <w:tcW w:w="1050" w:type="dxa"/>
            <w:tcBorders/>
            <w:vAlign w:val="center"/>
          </w:tcPr>
          <w:p>
            <w:pPr>
              <w:pStyle w:val="MDPI42tablebody"/>
              <w:jc w:val="center"/>
            </w:pPr>
            <w:r>
              <w:rPr>
                <w:sz w:val="16"/>
              </w:rPr>
              <w:t>0.67</w:t>
            </w:r>
          </w:p>
        </w:tc>
        <w:tc>
          <w:tcPr>
            <w:tcW w:w="1116" w:type="dxa"/>
            <w:tcBorders/>
            <w:vAlign w:val="center"/>
          </w:tcPr>
          <w:p>
            <w:pPr>
              <w:pStyle w:val="MDPI42tablebody"/>
              <w:jc w:val="center"/>
            </w:pPr>
            <w:r>
              <w:rPr>
                <w:sz w:val="16"/>
              </w:rPr>
              <w:t>0.64</w:t>
            </w:r>
          </w:p>
        </w:tc>
      </w:tr>
      <w:tr>
        <w:trPr>
          <w:cantSplit/>
        </w:trPr>
        <w:tc>
          <w:tcPr>
            <w:tcW w:w="1100" w:type="dxa"/>
            <w:tcBorders/>
            <w:vAlign w:val="center"/>
          </w:tcPr>
          <w:p>
            <w:pPr>
              <w:pStyle w:val="MDPI42tablebody"/>
              <w:jc w:val="left"/>
            </w:pPr>
            <w:r>
              <w:rPr>
                <w:sz w:val="16"/>
              </w:rPr>
              <w:t>P0+C0</w:t>
            </w:r>
          </w:p>
        </w:tc>
        <w:tc>
          <w:tcPr>
            <w:tcW w:w="950" w:type="dxa"/>
            <w:tcBorders/>
            <w:vAlign w:val="center"/>
          </w:tcPr>
          <w:p>
            <w:pPr>
              <w:pStyle w:val="MDPI42tablebody"/>
              <w:jc w:val="center"/>
            </w:pPr>
            <w:r>
              <w:rPr>
                <w:sz w:val="16"/>
              </w:rPr>
              <w:t>4/8</w:t>
            </w:r>
          </w:p>
        </w:tc>
        <w:tc>
          <w:tcPr>
            <w:tcW w:w="1100" w:type="dxa"/>
            <w:tcBorders/>
            <w:vAlign w:val="center"/>
          </w:tcPr>
          <w:p>
            <w:pPr>
              <w:pStyle w:val="MDPI42tablebody"/>
              <w:jc w:val="center"/>
            </w:pPr>
            <w:r>
              <w:rPr>
                <w:sz w:val="16"/>
              </w:rPr>
              <w:t>3/8</w:t>
            </w:r>
          </w:p>
        </w:tc>
        <w:tc>
          <w:tcPr>
            <w:tcW w:w="800" w:type="dxa"/>
            <w:tcBorders/>
            <w:vAlign w:val="center"/>
          </w:tcPr>
          <w:p>
            <w:pPr>
              <w:pStyle w:val="MDPI42tablebody"/>
              <w:jc w:val="center"/>
            </w:pPr>
            <w:r>
              <w:rPr>
                <w:sz w:val="16"/>
              </w:rPr>
              <w:t>2/8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1/8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0.66</w:t>
            </w:r>
          </w:p>
        </w:tc>
        <w:tc>
          <w:tcPr>
            <w:tcW w:w="1050" w:type="dxa"/>
            <w:tcBorders/>
            <w:vAlign w:val="center"/>
          </w:tcPr>
          <w:p>
            <w:pPr>
              <w:pStyle w:val="MDPI42tablebody"/>
              <w:jc w:val="center"/>
            </w:pPr>
            <w:r>
              <w:rPr>
                <w:sz w:val="16"/>
              </w:rPr>
              <w:t>0.61</w:t>
            </w:r>
          </w:p>
        </w:tc>
        <w:tc>
          <w:tcPr>
            <w:tcW w:w="1116" w:type="dxa"/>
            <w:tcBorders/>
            <w:vAlign w:val="center"/>
          </w:tcPr>
          <w:p>
            <w:pPr>
              <w:pStyle w:val="MDPI42tablebody"/>
              <w:jc w:val="center"/>
            </w:pPr>
            <w:r>
              <w:rPr>
                <w:sz w:val="16"/>
              </w:rPr>
              <w:t>0.63</w:t>
            </w:r>
          </w:p>
        </w:tc>
      </w:tr>
      <w:tr>
        <w:trPr>
          <w:cantSplit/>
        </w:trPr>
        <w:tc>
          <w:tcPr>
            <w:tcW w:w="1100" w:type="dxa"/>
            <w:tcBorders>
              <w:bottom w:val="single" w:sz="8" w:space="0" w:color="000000"/>
            </w:tcBorders>
            <w:vAlign w:val="center"/>
          </w:tcPr>
          <w:p>
            <w:pPr>
              <w:pStyle w:val="MDPI42tablebody"/>
              <w:jc w:val="left"/>
            </w:pPr>
            <w:r>
              <w:rPr>
                <w:sz w:val="16"/>
              </w:rPr>
              <w:t>C2</w:t>
            </w:r>
          </w:p>
        </w:tc>
        <w:tc>
          <w:tcPr>
            <w:tcW w:w="950" w:type="dxa"/>
            <w:tcBorders>
              <w:bottom w:val="single" w:sz="8" w:space="0" w:color="000000"/>
            </w:tcBorders>
            <w:vAlign w:val="center"/>
          </w:tcPr>
          <w:p>
            <w:pPr>
              <w:pStyle w:val="MDPI42tablebody"/>
              <w:jc w:val="center"/>
            </w:pPr>
            <w:r>
              <w:rPr>
                <w:sz w:val="16"/>
              </w:rPr>
              <w:t>5/8</w:t>
            </w:r>
          </w:p>
        </w:tc>
        <w:tc>
          <w:tcPr>
            <w:tcW w:w="1100" w:type="dxa"/>
            <w:tcBorders>
              <w:bottom w:val="single" w:sz="8" w:space="0" w:color="000000"/>
            </w:tcBorders>
            <w:vAlign w:val="center"/>
          </w:tcPr>
          <w:p>
            <w:pPr>
              <w:pStyle w:val="MDPI42tablebody"/>
              <w:jc w:val="center"/>
            </w:pPr>
            <w:r>
              <w:rPr>
                <w:sz w:val="16"/>
              </w:rPr>
              <w:t>7/8</w:t>
            </w:r>
          </w:p>
        </w:tc>
        <w:tc>
          <w:tcPr>
            <w:tcW w:w="800" w:type="dxa"/>
            <w:tcBorders>
              <w:bottom w:val="single" w:sz="8" w:space="0" w:color="000000"/>
            </w:tcBorders>
            <w:vAlign w:val="center"/>
          </w:tcPr>
          <w:p>
            <w:pPr>
              <w:pStyle w:val="MDPI42tablebody"/>
              <w:jc w:val="center"/>
            </w:pPr>
            <w:r>
              <w:rPr>
                <w:sz w:val="16"/>
              </w:rPr>
              <w:t>5/8</w:t>
            </w:r>
          </w:p>
        </w:tc>
        <w:tc>
          <w:tcPr>
            <w:tcW w:w="900" w:type="dxa"/>
            <w:tcBorders>
              <w:bottom w:val="single" w:sz="8" w:space="0" w:color="000000"/>
            </w:tcBorders>
            <w:vAlign w:val="center"/>
          </w:tcPr>
          <w:p>
            <w:pPr>
              <w:pStyle w:val="MDPI42tablebody"/>
              <w:jc w:val="center"/>
            </w:pPr>
            <w:r>
              <w:rPr>
                <w:sz w:val="16"/>
              </w:rPr>
              <w:t>0/8</w:t>
            </w:r>
          </w:p>
        </w:tc>
        <w:tc>
          <w:tcPr>
            <w:tcW w:w="1200" w:type="dxa"/>
            <w:tcBorders>
              <w:bottom w:val="single" w:sz="8" w:space="0" w:color="000000"/>
            </w:tcBorders>
            <w:vAlign w:val="center"/>
          </w:tcPr>
          <w:p>
            <w:pPr>
              <w:pStyle w:val="MDPI42tablebody"/>
              <w:jc w:val="center"/>
            </w:pPr>
            <w:r>
              <w:rPr>
                <w:sz w:val="16"/>
              </w:rPr>
              <w:t>1/8</w:t>
            </w:r>
          </w:p>
        </w:tc>
        <w:tc>
          <w:tcPr>
            <w:tcW w:w="1200" w:type="dxa"/>
            <w:tcBorders>
              <w:bottom w:val="single" w:sz="8" w:space="0" w:color="000000"/>
            </w:tcBorders>
            <w:vAlign w:val="center"/>
          </w:tcPr>
          <w:p>
            <w:pPr>
              <w:pStyle w:val="MDPI42tablebody"/>
              <w:jc w:val="center"/>
            </w:pPr>
            <w:r>
              <w:rPr>
                <w:sz w:val="16"/>
              </w:rPr>
              <w:t>4/8</w:t>
            </w:r>
          </w:p>
        </w:tc>
        <w:tc>
          <w:tcPr>
            <w:tcW w:w="1050" w:type="dxa"/>
            <w:tcBorders>
              <w:bottom w:val="single" w:sz="8" w:space="0" w:color="000000"/>
            </w:tcBorders>
            <w:vAlign w:val="center"/>
          </w:tcPr>
          <w:p>
            <w:pPr>
              <w:pStyle w:val="MDPI42tablebody"/>
              <w:jc w:val="center"/>
            </w:pPr>
            <w:r>
              <w:rPr>
                <w:sz w:val="16"/>
              </w:rPr>
              <w:t>0.67</w:t>
            </w:r>
          </w:p>
        </w:tc>
        <w:tc>
          <w:tcPr>
            <w:tcW w:w="1050" w:type="dxa"/>
            <w:tcBorders>
              <w:bottom w:val="single" w:sz="8" w:space="0" w:color="000000"/>
            </w:tcBorders>
            <w:vAlign w:val="center"/>
          </w:tcPr>
          <w:p>
            <w:pPr>
              <w:pStyle w:val="MDPI42tablebody"/>
              <w:jc w:val="center"/>
            </w:pPr>
            <w:r>
              <w:rPr>
                <w:sz w:val="16"/>
              </w:rPr>
              <w:t>0.72</w:t>
            </w:r>
          </w:p>
        </w:tc>
        <w:tc>
          <w:tcPr>
            <w:tcW w:w="1116" w:type="dxa"/>
            <w:tcBorders>
              <w:bottom w:val="single" w:sz="8" w:space="0" w:color="000000"/>
            </w:tcBorders>
            <w:vAlign w:val="center"/>
          </w:tcPr>
          <w:p>
            <w:pPr>
              <w:pStyle w:val="MDPI42tablebody"/>
              <w:jc w:val="center"/>
            </w:pPr>
            <w:r>
              <w:rPr>
                <w:sz w:val="16"/>
              </w:rPr>
              <w:t>0.67</w:t>
            </w:r>
          </w:p>
        </w:tc>
      </w:tr>
    </w:tbl>
    <w:p>
      <w:pPr>
        <w:pStyle w:val="MDPI43tablefooter"/>
      </w:pPr>
      <w:r>
        <w:rPr/>
        <w:t xml:space="preserve">Margins as in Section 4.6 (0.50 nats for semantic entropy, 0.10 for entropy, log-likelihood and KL, 0.50 for </w:t>
      </w:r>
      <w:r>
        <w:rPr>
          <w:i/>
        </w:rPr>
        <w:t>T</w:t>
      </w:r>
      <w:r>
        <w:rPr/>
        <w:t>eff</w:t>
      </w:r>
      <w:r>
        <w:rPr/>
        <w:t>); intervals for semantic entropy are bootstrap intervals over completions with re-clustering.</w:t>
      </w:r>
    </w:p>
    <w:p>
      <w:pPr>
        <w:pStyle w:val="MDPI31text"/>
      </w:pPr>
      <w:r>
        <w:rPr/>
        <w:t>Table 19 reports the cost. In free generation the reference roughly doubles the forward-pass cost, because it needs a second pass at every step (the reference pass took 14.8 s against 15.5 s for the sampling pass, 95% of its cost, for 20 completions of up to 24 tokens). Entailment clustering of the same cell cost 122 s of entailment calls on the same CPU, about 8 times the sampling pass, without counting the bootstrap. The cost of fitting is negligible for the candidate-restricted task (about 10 ms per cell) but not for the full vocabulary, where scoring the chosen token against every alternative on an 80-point grid took 0.4 to 0.8 s per step for 20 sequences, which is of the same order as a forward pass (0.6 s per step in our runs; unoptimised implementation). Given that the fitted temperature flagged fewer distorted cells than entropy, which costs nothing, the extra computation is hard to justify as a detector.</w:t>
      </w:r>
    </w:p>
    <w:p>
      <w:pPr>
        <w:pStyle w:val="MDPI41tablecaption"/>
      </w:pPr>
      <w:r>
        <w:rPr>
          <w:b/>
        </w:rPr>
        <w:t xml:space="preserve">Table 19. </w:t>
      </w:r>
      <w:r>
        <w:rPr/>
        <w:t xml:space="preserve"> Mean wall-clock time per free-generation cell (20 completions, up to 24 tokens; four CPU cores, 32-bit).</w:t>
      </w:r>
    </w:p>
    <w:tbl>
      <w:tblPr>
        <w:tblW w:w="10466" w:type="dxa"/>
        <w:tblInd w:w="0" w:type="dxa"/>
        <w:tblLayout w:type="fixed"/>
      </w:tblPr>
      <w:tblGrid>
        <w:gridCol w:w="2400"/>
        <w:gridCol w:w="2000"/>
        <w:gridCol w:w="2000"/>
        <w:gridCol w:w="1700"/>
        <w:gridCol w:w="23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Model</w:t>
            </w:r>
          </w:p>
        </w:tc>
        <w:tc>
          <w:tcPr>
            <w:tcW w:w="2000" w:type="dxa"/>
            <w:tcBorders>
              <w:top w:val="single" w:sz="8" w:space="0" w:color="000000"/>
              <w:bottom w:val="single" w:sz="4" w:space="0" w:color="000000"/>
            </w:tcBorders>
            <w:vAlign w:val="center"/>
          </w:tcPr>
          <w:p>
            <w:pPr>
              <w:pStyle w:val="MDPI42tablebody"/>
              <w:jc w:val="center"/>
            </w:pPr>
            <w:r>
              <w:rPr>
                <w:b/>
                <w:sz w:val="16"/>
              </w:rPr>
              <w:t>Sampling pass (s)</w:t>
            </w:r>
          </w:p>
        </w:tc>
        <w:tc>
          <w:tcPr>
            <w:tcW w:w="2000" w:type="dxa"/>
            <w:tcBorders>
              <w:top w:val="single" w:sz="8" w:space="0" w:color="000000"/>
              <w:bottom w:val="single" w:sz="4" w:space="0" w:color="000000"/>
            </w:tcBorders>
            <w:vAlign w:val="center"/>
          </w:tcPr>
          <w:p>
            <w:pPr>
              <w:pStyle w:val="MDPI42tablebody"/>
              <w:jc w:val="center"/>
            </w:pPr>
            <w:r>
              <w:rPr>
                <w:b/>
                <w:sz w:val="16"/>
              </w:rPr>
              <w:t>Reference pass (s)</w:t>
            </w:r>
          </w:p>
        </w:tc>
        <w:tc>
          <w:tcPr>
            <w:tcW w:w="1700" w:type="dxa"/>
            <w:tcBorders>
              <w:top w:val="single" w:sz="8" w:space="0" w:color="000000"/>
              <w:bottom w:val="single" w:sz="4" w:space="0" w:color="000000"/>
            </w:tcBorders>
            <w:vAlign w:val="center"/>
          </w:tcPr>
          <w:p>
            <w:pPr>
              <w:pStyle w:val="MDPI42tablebody"/>
              <w:jc w:val="center"/>
            </w:pPr>
            <w:r>
              <w:rPr>
                <w:b/>
                <w:sz w:val="16"/>
              </w:rPr>
              <w:t>Overhead</w:t>
            </w:r>
          </w:p>
        </w:tc>
        <w:tc>
          <w:tcPr>
            <w:tcW w:w="2366" w:type="dxa"/>
            <w:tcBorders>
              <w:top w:val="single" w:sz="8" w:space="0" w:color="000000"/>
              <w:bottom w:val="single" w:sz="4" w:space="0" w:color="000000"/>
            </w:tcBorders>
            <w:vAlign w:val="center"/>
          </w:tcPr>
          <w:p>
            <w:pPr>
              <w:pStyle w:val="MDPI42tablebody"/>
              <w:jc w:val="center"/>
            </w:pPr>
            <w:r>
              <w:rPr>
                <w:b/>
                <w:sz w:val="16"/>
              </w:rPr>
              <w:t>Entailment calls (s per cell)</w:t>
            </w:r>
          </w:p>
        </w:tc>
      </w:tr>
      <w:tr>
        <w:trPr>
          <w:cantSplit/>
        </w:trPr>
        <w:tc>
          <w:tcPr>
            <w:tcW w:w="2400" w:type="dxa"/>
            <w:tcBorders/>
            <w:vAlign w:val="center"/>
          </w:tcPr>
          <w:p>
            <w:pPr>
              <w:pStyle w:val="MDPI42tablebody"/>
              <w:jc w:val="left"/>
            </w:pPr>
            <w:r>
              <w:rPr>
                <w:sz w:val="16"/>
              </w:rPr>
              <w:t>Llama-3.2-1B</w:t>
            </w:r>
          </w:p>
        </w:tc>
        <w:tc>
          <w:tcPr>
            <w:tcW w:w="2000" w:type="dxa"/>
            <w:tcBorders/>
            <w:vAlign w:val="center"/>
          </w:tcPr>
          <w:p>
            <w:pPr>
              <w:pStyle w:val="MDPI42tablebody"/>
              <w:jc w:val="center"/>
            </w:pPr>
            <w:r>
              <w:rPr>
                <w:sz w:val="16"/>
              </w:rPr>
              <w:t>15.1</w:t>
            </w:r>
          </w:p>
        </w:tc>
        <w:tc>
          <w:tcPr>
            <w:tcW w:w="2000" w:type="dxa"/>
            <w:tcBorders/>
            <w:vAlign w:val="center"/>
          </w:tcPr>
          <w:p>
            <w:pPr>
              <w:pStyle w:val="MDPI42tablebody"/>
              <w:jc w:val="center"/>
            </w:pPr>
            <w:r>
              <w:rPr>
                <w:sz w:val="16"/>
              </w:rPr>
              <w:t>14.2</w:t>
            </w:r>
          </w:p>
        </w:tc>
        <w:tc>
          <w:tcPr>
            <w:tcW w:w="1700" w:type="dxa"/>
            <w:tcBorders/>
            <w:vAlign w:val="center"/>
          </w:tcPr>
          <w:p>
            <w:pPr>
              <w:pStyle w:val="MDPI42tablebody"/>
              <w:jc w:val="center"/>
            </w:pPr>
            <w:r>
              <w:rPr>
                <w:sz w:val="16"/>
              </w:rPr>
              <w:t>94%</w:t>
            </w:r>
          </w:p>
        </w:tc>
        <w:tc>
          <w:tcPr>
            <w:tcW w:w="2366" w:type="dxa"/>
            <w:tcBorders/>
            <w:vAlign w:val="center"/>
          </w:tcPr>
          <w:p>
            <w:pPr>
              <w:pStyle w:val="MDPI42tablebody"/>
              <w:jc w:val="center"/>
            </w:pPr>
            <w:r>
              <w:rPr>
                <w:sz w:val="16"/>
              </w:rPr>
              <w:t>124</w:t>
            </w:r>
          </w:p>
        </w:tc>
      </w:tr>
      <w:tr>
        <w:trPr>
          <w:cantSplit/>
        </w:trPr>
        <w:tc>
          <w:tcPr>
            <w:tcW w:w="2400" w:type="dxa"/>
            <w:tcBorders>
              <w:bottom w:val="single" w:sz="8" w:space="0" w:color="000000"/>
            </w:tcBorders>
            <w:vAlign w:val="center"/>
          </w:tcPr>
          <w:p>
            <w:pPr>
              <w:pStyle w:val="MDPI42tablebody"/>
              <w:jc w:val="left"/>
            </w:pPr>
            <w:r>
              <w:rPr>
                <w:sz w:val="16"/>
              </w:rPr>
              <w:t>Qwen2.5-1.5B</w:t>
            </w:r>
          </w:p>
        </w:tc>
        <w:tc>
          <w:tcPr>
            <w:tcW w:w="2000" w:type="dxa"/>
            <w:tcBorders>
              <w:bottom w:val="single" w:sz="8" w:space="0" w:color="000000"/>
            </w:tcBorders>
            <w:vAlign w:val="center"/>
          </w:tcPr>
          <w:p>
            <w:pPr>
              <w:pStyle w:val="MDPI42tablebody"/>
              <w:jc w:val="center"/>
            </w:pPr>
            <w:r>
              <w:rPr>
                <w:sz w:val="16"/>
              </w:rPr>
              <w:t>16.0</w:t>
            </w:r>
          </w:p>
        </w:tc>
        <w:tc>
          <w:tcPr>
            <w:tcW w:w="2000" w:type="dxa"/>
            <w:tcBorders>
              <w:bottom w:val="single" w:sz="8" w:space="0" w:color="000000"/>
            </w:tcBorders>
            <w:vAlign w:val="center"/>
          </w:tcPr>
          <w:p>
            <w:pPr>
              <w:pStyle w:val="MDPI42tablebody"/>
              <w:jc w:val="center"/>
            </w:pPr>
            <w:r>
              <w:rPr>
                <w:sz w:val="16"/>
              </w:rPr>
              <w:t>15.3</w:t>
            </w:r>
          </w:p>
        </w:tc>
        <w:tc>
          <w:tcPr>
            <w:tcW w:w="1700" w:type="dxa"/>
            <w:tcBorders>
              <w:bottom w:val="single" w:sz="8" w:space="0" w:color="000000"/>
            </w:tcBorders>
            <w:vAlign w:val="center"/>
          </w:tcPr>
          <w:p>
            <w:pPr>
              <w:pStyle w:val="MDPI42tablebody"/>
              <w:jc w:val="center"/>
            </w:pPr>
            <w:r>
              <w:rPr>
                <w:sz w:val="16"/>
              </w:rPr>
              <w:t>96%</w:t>
            </w:r>
          </w:p>
        </w:tc>
        <w:tc>
          <w:tcPr>
            <w:tcW w:w="2366" w:type="dxa"/>
            <w:tcBorders>
              <w:bottom w:val="single" w:sz="8" w:space="0" w:color="000000"/>
            </w:tcBorders>
            <w:vAlign w:val="center"/>
          </w:tcPr>
          <w:p>
            <w:pPr>
              <w:pStyle w:val="MDPI42tablebody"/>
              <w:jc w:val="center"/>
            </w:pPr>
            <w:r>
              <w:rPr>
                <w:sz w:val="16"/>
              </w:rPr>
              <w:t>119</w:t>
            </w:r>
          </w:p>
        </w:tc>
      </w:tr>
    </w:tbl>
    <w:p>
      <w:pPr>
        <w:pStyle w:val="MDPI21heading1"/>
        <w:keepNext/>
      </w:pPr>
      <w:r>
        <w:rPr/>
        <w:t xml:space="preserve">6. Discussion</w:t>
      </w:r>
    </w:p>
    <w:p>
      <w:pPr>
        <w:pStyle w:val="MDPI22heading2"/>
        <w:keepNext/>
      </w:pPr>
      <w:r>
        <w:rPr/>
        <w:t xml:space="preserve">6.1. What the Evidence Supports</w:t>
      </w:r>
    </w:p>
    <w:p>
      <w:pPr>
        <w:pStyle w:val="MDPI31text"/>
      </w:pPr>
      <w:r>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T</w:t>
      </w:r>
      <w:r>
        <w:rPr>
          <w:vertAlign w:val="subscript"/>
        </w:rPr>
        <w:t xml:space="preserve">eff</w:t>
      </w:r>
      <w:r>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pStyle w:val="MDPI31text"/>
      </w:pPr>
      <w:r>
        <w:rPr/>
        <w:t xml:space="preserve">The revision study narrows what can be claimed for </w:t>
      </w:r>
      <w:r>
        <w:rPr>
          <w:i/>
        </w:rPr>
        <w:t>T</w:t>
      </w:r>
      <w:r>
        <w:rPr/>
        <w:t>eff</w:t>
      </w:r>
      <w:r>
        <w:rPr/>
        <w:t>. First, it is not a measure of decoder randomness. It is the temperature-equivalent of the context's net effect on the logit scale, and when the context mainly reorders the candidates a rescaling explains only a part of the effect (on average 26% of the divergence in pressured cells). Second, as a detector it was dominated by quantities it is computed from, namely the reference log-likelihood and the divergence, and by token entropy, in four additional models, in three wordings of each distortion and in full-vocabulary generation. Third, with six choices per trajectory the 95% interval of the trajectory-level estimate spans a median factor of 9, so single-trajectory values are not usable and the indicator needs pooling over many steps. Fourth, it costs one extra forward pass per step (the reference pass took 0.95 times as long as the sampling pass in our free-generation runs). Whether a model-specific diagnostic that reports a share of a context effect as scale is worth that cost depends on the use. We would not recommend it as a monitor.</w:t>
      </w:r>
    </w:p>
    <w:p>
      <w:pPr>
        <w:pStyle w:val="MDPI22heading2"/>
        <w:keepNext/>
      </w:pPr>
      <w:r>
        <w:rPr/>
        <w:t xml:space="preserve">6.2. Implications for Expert Systems That Embed LLM Agents</w:t>
      </w:r>
    </w:p>
    <w:p>
      <w:pPr>
        <w:pStyle w:val="MDPI31text"/>
      </w:pPr>
      <w:r>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T</w:t>
      </w:r>
      <w:r>
        <w:rPr>
          <w:vertAlign w:val="subscript"/>
        </w:rPr>
        <w:t xml:space="preserve">eff</w:t>
      </w:r>
      <w:r>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pStyle w:val="MDPI22heading2"/>
        <w:keepNext/>
      </w:pPr>
      <w:r>
        <w:rPr/>
        <w:t xml:space="preserve">6.3. Why the Models Differ</w:t>
      </w:r>
    </w:p>
    <w:p>
      <w:pPr>
        <w:pStyle w:val="MDPI31text"/>
      </w:pPr>
      <w:r>
        <w:rPr/>
        <w:t xml:space="preserve">We did not investigate why pressure raised T</w:t>
      </w:r>
      <w:r>
        <w:rPr>
          <w:vertAlign w:val="subscript"/>
        </w:rPr>
        <w:t xml:space="preserve">eff</w:t>
      </w:r>
      <w:r>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pStyle w:val="MDPI22heading2"/>
        <w:keepNext/>
      </w:pPr>
      <w:r>
        <w:rPr/>
        <w:t xml:space="preserve">6.4. Limitations</w:t>
      </w:r>
    </w:p>
    <w:p>
      <w:pPr>
        <w:pStyle w:val="MDPI38bullet"/>
        <w:numPr>
          <w:ilvl w:val="0"/>
          <w:numId w:val="3"/>
        </w:numPr>
      </w:pPr>
      <w:r>
        <w:rPr/>
        <w:t xml:space="preserve">The tasks are short ordered-list continuation problems with a planted repetition attractor. They are controlled and checkable, but they are far from the multi-step tool-using agents found in deployed expert systems, and the attractor is artificial.</w:t>
      </w:r>
    </w:p>
    <w:p>
      <w:pPr>
        <w:pStyle w:val="MDPI38bullet"/>
        <w:numPr>
          <w:ilvl w:val="0"/>
          <w:numId w:val="3"/>
        </w:numPr>
      </w:pPr>
      <w:r>
        <w:rPr/>
        <w:t xml:space="preserve">The three levels of attractor strength were chosen from a probe of the same models, and the </w:t>
      </w:r>
      <w:r>
        <w:rPr>
          <w:i/>
        </w:rPr>
        <w:t xml:space="preserve">T</w:t>
      </w:r>
      <w:r>
        <w:rPr/>
        <w:t xml:space="preserve"> grid in Stage D ends at 3, so the interior-peak results are exploratory and some peaks may lie outside the grid.</w:t>
      </w:r>
      <w:r>
        <w:rPr/>
        <w:t xml:space="preserve"> The revision study repeats the selection on a different wording and over the full grid; the classification of peaks depends on how the strengths are selected (Section 5.11).</w:t>
      </w:r>
    </w:p>
    <w:p>
      <w:pPr>
        <w:pStyle w:val="MDPI38bullet"/>
        <w:numPr>
          <w:ilvl w:val="0"/>
          <w:numId w:val="3"/>
        </w:numPr>
      </w:pPr>
      <w:r>
        <w:rPr/>
        <w:t xml:space="preserve">Stage D covers two 3B models, and the 7B model was studied on the alphabet task only and in 8-bit form. Models of 3B parameters or fewer are small by current standards, and the results may not transfer to larger models.</w:t>
      </w:r>
      <w:r>
        <w:rPr/>
        <w:t xml:space="preserve"> The revision study adds four models of 0.5 to 1.7 billion parameters on one inference stack, but it did not re-run the 3B or 7B models, and no model above 7B was studied.</w:t>
      </w:r>
    </w:p>
    <w:p>
      <w:pPr>
        <w:pStyle w:val="MDPI38bullet"/>
        <w:numPr>
          <w:ilvl w:val="0"/>
          <w:numId w:val="3"/>
        </w:numPr>
      </w:pPr>
      <w:r>
        <w:rPr/>
        <w:t xml:space="preserve">Cells contain 30 to 100 trajectories of six steps. Standard errors are non-negligible, and the comparison among indicators rests on 16 matched cells per condition, so it should be read as descriptive.</w:t>
      </w:r>
    </w:p>
    <w:p>
      <w:pPr>
        <w:pStyle w:val="MDPI38bullet"/>
        <w:numPr>
          <w:ilvl w:val="0"/>
          <w:numId w:val="3"/>
        </w:numPr>
      </w:pPr>
      <w:r>
        <w:rPr/>
        <w:t xml:space="preserve">The decision rule, with its bootstrap intervals and minimum margins, is a simple analyst choice. The ordering of indicators is stable when the margins are halved but not when they are doubled.</w:t>
      </w:r>
    </w:p>
    <w:p>
      <w:pPr>
        <w:pStyle w:val="MDPI38bullet"/>
        <w:numPr>
          <w:ilvl w:val="0"/>
          <w:numId w:val="3"/>
        </w:numPr>
      </w:pPr>
      <w:r>
        <w:rPr/>
        <w:t xml:space="preserve">The discrete semantic entropy is a closed-vocabulary special case, in which meaning equivalence reduces to string identity. It is not the full method of Farquhar et al. [5], which clusters free-form answers using entailment, and a fuller implementation could behave differently.</w:t>
      </w:r>
      <w:r>
        <w:rPr/>
        <w:t xml:space="preserve"> The revision study adds entailment-clustered semantic entropy for two models, two tasks and 20 completions per cell. The clustering model was not validated on repetitive list-like text, and the bootstrap intervals of that baseline are wide.</w:t>
      </w:r>
    </w:p>
    <w:p>
      <w:pPr>
        <w:pStyle w:val="MDPI38bullet"/>
        <w:numPr>
          <w:ilvl w:val="0"/>
          <w:numId w:val="3"/>
        </w:numPr>
      </w:pPr>
      <w:r>
        <w:rPr/>
        <w:t xml:space="preserve">T</w:t>
      </w:r>
      <w:r>
        <w:rPr>
          <w:vertAlign w:val="subscript"/>
        </w:rPr>
        <w:t xml:space="preserve">eff</w:t>
      </w:r>
      <w:r>
        <w:rPr/>
        <w:t xml:space="preserve"> captures only a scale. It cannot represent a change in the ordering of the candidates, and it is not identified when the reference is saturated.</w:t>
      </w:r>
    </w:p>
    <w:p>
      <w:pPr>
        <w:pStyle w:val="MDPI38bullet"/>
        <w:numPr>
          <w:ilvl w:val="0"/>
          <w:numId w:val="3"/>
        </w:numPr>
      </w:pPr>
      <w:r>
        <w:rPr/>
        <w:t xml:space="preserve">We did not test the effect of a context reset, nor any decision benefit of monitoring T</w:t>
      </w:r>
      <w:r>
        <w:rPr>
          <w:vertAlign w:val="subscript"/>
        </w:rPr>
        <w:t xml:space="preserve">eff</w:t>
      </w:r>
      <w:r>
        <w:rPr/>
        <w:t xml:space="preserve">, </w:t>
      </w:r>
      <w:r>
        <w:rPr/>
        <w:t>and the main-text experiments use a single wording for each distortion; the revision study uses three (Section 5.8) but only for small models.</w:t>
      </w:r>
    </w:p>
    <w:p>
      <w:pPr>
        <w:pStyle w:val="MDPI38bullet"/>
      </w:pPr>
      <w:r>
        <w:rPr/>
        <w:t>The reference is a modelling choice. The same-history reference is blind when the history itself locks the agent, and the repaired references answer a different question (Section 5.10). No reference is neutral, and we tested no reference from a different model.</w:t>
      </w:r>
    </w:p>
    <w:p>
      <w:pPr>
        <w:pStyle w:val="MDPI38bullet"/>
      </w:pPr>
      <w:r>
        <w:rPr/>
        <w:t xml:space="preserve">Free generation was studied for two models, two tasks and at most 24 tokens. At </w:t>
      </w:r>
      <w:r>
        <w:rPr>
          <w:i/>
        </w:rPr>
        <w:t>T</w:t>
      </w:r>
      <w:r>
        <w:rPr/>
        <w:t xml:space="preserve"> = 2 unrestricted sampling from the full vocabulary produces near-random text, so accuracy is not interpretable there and the pooled estimate is dominated by tokens that carry no task information.</w:t>
      </w:r>
    </w:p>
    <w:p>
      <w:pPr>
        <w:pStyle w:val="MDPI38bullet"/>
      </w:pPr>
      <w:r>
        <w:rPr/>
        <w:t>The scripts of Stages A and B are not part of the Supplementary Materials. Their results (Tables 4 and 5) are reported as a worked illustration of the estimator. Because the scripts are not provided they cannot be reproduced from the Supplementary Materials, and no conclusion rests on them.</w:t>
      </w:r>
    </w:p>
    <w:p>
      <w:pPr>
        <w:pStyle w:val="MDPI22heading2"/>
        <w:keepNext/>
      </w:pPr>
      <w:r>
        <w:rPr/>
        <w:t xml:space="preserve">6.5. Future Work</w:t>
      </w:r>
    </w:p>
    <w:p>
      <w:pPr>
        <w:pStyle w:val="MDPI31text"/>
      </w:pPr>
      <w:r>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T</w:t>
      </w:r>
      <w:r>
        <w:rPr>
          <w:vertAlign w:val="subscript"/>
        </w:rPr>
        <w:t xml:space="preserve">eff</w:t>
      </w:r>
      <w:r>
        <w:rPr/>
        <w:t xml:space="preserve"> is compared with simpler monitors on downstream outcomes, would show whether the indicator earns its cost.</w:t>
      </w:r>
      <w:r>
        <w:rPr/>
        <w:t xml:space="preserve"> A reference taken from a different model, and the use of the residual divergence κ rather than the temperature as the primary diagnostic, are two directions that the present results suggest.</w:t>
      </w:r>
    </w:p>
    <w:p>
      <w:pPr>
        <w:pStyle w:val="MDPI21heading1"/>
        <w:keepNext/>
      </w:pPr>
      <w:r>
        <w:rPr/>
        <w:t xml:space="preserve">7. Conclusions</w:t>
      </w:r>
    </w:p>
    <w:p>
      <w:pPr>
        <w:pStyle w:val="MDPI31text"/>
      </w:pPr>
      <w:r>
        <w:rPr/>
        <w:t xml:space="preserve">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r>
        <w:rPr/>
        <w:t xml:space="preserve"> The revision study, with four further models run on one stack, three wordings of each distortion, full-vocabulary generation and entailment-clustered semantic entropy, supports the same reading: the indicator measures a temperature-equivalent of the context's effect on the logit scale, it is dominated as a detector by the reference log-likelihood and by entropy, and its trajectory-level estimates are too imprecise to use.</w:t>
      </w:r>
    </w:p>
    <w:p>
      <w:pPr>
        <w:pStyle w:val="MDPI62backmatter"/>
      </w:pPr>
      <w:r>
        <w:rPr>
          <w:b/>
        </w:rPr>
        <w:t xml:space="preserve">Supplementary Materials: </w:t>
      </w:r>
      <w:r>
        <w:rPr/>
        <w:t xml:space="preserve">The code and the per-trajectory results of Stages C and D are provided as Supplementary Materials accompanying this submission.</w:t>
      </w:r>
    </w:p>
    <w:p>
      <w:pPr>
        <w:pStyle w:val="MDPI62backmatter"/>
      </w:pPr>
      <w:r>
        <w:rPr>
          <w:b/>
        </w:rPr>
        <w:t xml:space="preserve">Author Contributions: </w:t>
      </w:r>
      <w:r>
        <w:rPr/>
        <w:t xml:space="preserve">All authors have read and agreed to the published version of the manuscript.</w:t>
      </w:r>
    </w:p>
    <w:p>
      <w:pPr>
        <w:pStyle w:val="MDPI62backmatter"/>
      </w:pPr>
      <w:r>
        <w:rPr>
          <w:b/>
        </w:rPr>
        <w:t xml:space="preserve">Funding: </w:t>
      </w:r>
      <w:r>
        <w:rPr/>
        <w:t xml:space="preserve">This research received no external funding.</w:t>
      </w:r>
    </w:p>
    <w:p>
      <w:pPr>
        <w:pStyle w:val="MDPI62backmatter"/>
      </w:pPr>
      <w:r>
        <w:rPr>
          <w:b/>
        </w:rPr>
        <w:t xml:space="preserve">Institutional Review Board Statement: </w:t>
      </w:r>
      <w:r>
        <w:rPr/>
        <w:t xml:space="preserve">Not applicable.</w:t>
      </w:r>
    </w:p>
    <w:p>
      <w:pPr>
        <w:pStyle w:val="MDPI62backmatter"/>
      </w:pPr>
      <w:r>
        <w:rPr>
          <w:b/>
        </w:rPr>
        <w:t xml:space="preserve">Data Availability Statement: </w:t>
      </w:r>
      <w:r>
        <w:rPr/>
        <w:t xml:space="preserve">The code and the per-trajectory results of Stages C and D are available in the Supplementary Materials. </w:t>
      </w:r>
      <w:r>
        <w:rPr/>
        <w:t>The scripts of Stages A and B were run in an earlier phase of the project and are not included. The code, the per-trajectory results and the simulation scripts of the revision study are provided in the repository folder teff/ (Appendix F).</w:t>
      </w:r>
    </w:p>
    <w:p>
      <w:pPr>
        <w:pStyle w:val="MDPI62backmatter"/>
      </w:pPr>
      <w:r>
        <w:rPr>
          <w:b/>
        </w:rPr>
        <w:t xml:space="preserve">Acknowledgments: </w:t>
      </w:r>
      <w:r>
        <w:rPr/>
        <w:t xml:space="preserve">During the preparation of this manuscript, the authors used Claude (Anthropic) for the purposes of writing and running the experimental code, analysing the results, and drafting and editing the text. The authors have reviewed and edited the output and take full responsibility for the content of this publication.</w:t>
      </w:r>
    </w:p>
    <w:p>
      <w:pPr>
        <w:pStyle w:val="MDPI62backmatter"/>
      </w:pPr>
      <w:r>
        <w:rPr>
          <w:b/>
        </w:rPr>
        <w:t xml:space="preserve">Conflicts of Interest: </w:t>
      </w:r>
      <w:r>
        <w:rPr/>
        <w:t xml:space="preserve">The authors declare no conflicts of interest.</w:t>
      </w:r>
    </w:p>
    <w:p>
      <w:pPr>
        <w:pStyle w:val="MDPI21heading1"/>
        <w:keepNext/>
      </w:pPr>
      <w:r>
        <w:rPr/>
        <w:t xml:space="preserve">Abbreviations</w:t>
      </w:r>
    </w:p>
    <w:p>
      <w:pPr>
        <w:pStyle w:val="MDPI32textnoindent"/>
      </w:pPr>
      <w:r>
        <w:rPr/>
        <w:t xml:space="preserve">The following abbreviations are used in this manuscript: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41"/>
        <w:gridCol w:w="6617"/>
      </w:tblGrid>
      <w:tr>
        <w:trPr>
          <w:cantSplit/>
        </w:trPr>
        <w:tc>
          <w:tcPr>
            <w:tcW w:w="1241" w:type="dxa"/>
            <w:tcBorders/>
            <w:vAlign w:val="center"/>
          </w:tcPr>
          <w:p>
            <w:pPr>
              <w:pStyle w:val="MDPI42tablebody"/>
              <w:jc w:val="left"/>
            </w:pPr>
            <w:r>
              <w:rPr>
                <w:sz w:val="18"/>
                <w:szCs w:val="18"/>
              </w:rPr>
              <w:t xml:space="preserve">AUC</w:t>
            </w:r>
          </w:p>
        </w:tc>
        <w:tc>
          <w:tcPr>
            <w:tcW w:w="6617" w:type="dxa"/>
            <w:tcBorders/>
            <w:vAlign w:val="center"/>
          </w:tcPr>
          <w:p>
            <w:pPr>
              <w:pStyle w:val="MDPI42tablebody"/>
              <w:jc w:val="left"/>
            </w:pPr>
            <w:r>
              <w:rPr>
                <w:sz w:val="18"/>
                <w:szCs w:val="18"/>
              </w:rPr>
              <w:t xml:space="preserve">Area under the receiver operating characteristic curve</w:t>
            </w:r>
          </w:p>
        </w:tc>
      </w:tr>
      <w:tr>
        <w:trPr>
          <w:cantSplit/>
        </w:trPr>
        <w:tc>
          <w:tcPr>
            <w:tcW w:w="1241" w:type="dxa"/>
            <w:tcBorders/>
            <w:vAlign w:val="center"/>
          </w:tcPr>
          <w:p>
            <w:pPr>
              <w:pStyle w:val="MDPI42tablebody"/>
              <w:jc w:val="left"/>
            </w:pPr>
            <w:r>
              <w:rPr>
                <w:sz w:val="18"/>
                <w:szCs w:val="18"/>
              </w:rPr>
              <w:t xml:space="preserve">ECE</w:t>
            </w:r>
          </w:p>
        </w:tc>
        <w:tc>
          <w:tcPr>
            <w:tcW w:w="6617" w:type="dxa"/>
            <w:tcBorders/>
            <w:vAlign w:val="center"/>
          </w:tcPr>
          <w:p>
            <w:pPr>
              <w:pStyle w:val="MDPI42tablebody"/>
              <w:jc w:val="left"/>
            </w:pPr>
            <w:r>
              <w:rPr>
                <w:sz w:val="18"/>
                <w:szCs w:val="18"/>
              </w:rPr>
              <w:t xml:space="preserve">Expected calibration error</w:t>
            </w:r>
          </w:p>
        </w:tc>
      </w:tr>
      <w:tr>
        <w:trPr>
          <w:cantSplit/>
        </w:trPr>
        <w:tc>
          <w:tcPr>
            <w:tcW w:w="1241" w:type="dxa"/>
            <w:tcBorders/>
            <w:vAlign w:val="center"/>
          </w:tcPr>
          <w:p>
            <w:pPr>
              <w:pStyle w:val="MDPI42tablebody"/>
              <w:jc w:val="left"/>
            </w:pPr>
            <w:r>
              <w:rPr>
                <w:sz w:val="18"/>
                <w:szCs w:val="18"/>
              </w:rPr>
              <w:t xml:space="preserve">LLM</w:t>
            </w:r>
          </w:p>
        </w:tc>
        <w:tc>
          <w:tcPr>
            <w:tcW w:w="6617" w:type="dxa"/>
            <w:tcBorders/>
            <w:vAlign w:val="center"/>
          </w:tcPr>
          <w:p>
            <w:pPr>
              <w:pStyle w:val="MDPI42tablebody"/>
              <w:jc w:val="left"/>
            </w:pPr>
            <w:r>
              <w:rPr>
                <w:sz w:val="18"/>
                <w:szCs w:val="18"/>
              </w:rPr>
              <w:t xml:space="preserve">Large language model</w:t>
            </w:r>
          </w:p>
        </w:tc>
      </w:tr>
      <w:tr>
        <w:trPr>
          <w:cantSplit/>
        </w:trPr>
        <w:tc>
          <w:tcPr>
            <w:tcW w:w="1241" w:type="dxa"/>
            <w:tcBorders/>
            <w:vAlign w:val="center"/>
          </w:tcPr>
          <w:p>
            <w:pPr>
              <w:pStyle w:val="MDPI42tablebody"/>
              <w:jc w:val="left"/>
            </w:pPr>
            <w:r>
              <w:rPr>
                <w:sz w:val="18"/>
                <w:szCs w:val="18"/>
              </w:rPr>
              <w:t xml:space="preserve">n.i.</w:t>
            </w:r>
          </w:p>
        </w:tc>
        <w:tc>
          <w:tcPr>
            <w:tcW w:w="6617" w:type="dxa"/>
            <w:tcBorders/>
            <w:vAlign w:val="center"/>
          </w:tcPr>
          <w:p>
            <w:pPr>
              <w:pStyle w:val="MDPI42tablebody"/>
              <w:jc w:val="left"/>
            </w:pPr>
            <w:r>
              <w:rPr>
                <w:sz w:val="18"/>
                <w:szCs w:val="18"/>
              </w:rPr>
              <w:t xml:space="preserve">Not identified</w:t>
            </w:r>
          </w:p>
        </w:tc>
      </w:tr>
    </w:tbl>
    <w:p>
      <w:pPr>
        <w:pStyle w:val="MDPI31text"/>
        <w:spacing w:before="0" w:after="0" w:line="120" w:lineRule="exact"/>
      </w:pPr>
    </w:p>
    <w:p>
      <w:pPr>
        <w:pStyle w:val="MDPI21heading1"/>
        <w:keepNext/>
      </w:pPr>
      <w:r>
        <w:rPr/>
        <w:t xml:space="preserve">Appendix A. Prompts</w:t>
      </w:r>
    </w:p>
    <w:p>
      <w:pPr>
        <w:pStyle w:val="MDPI31text"/>
      </w:pPr>
      <w:r>
        <w:rPr>
          <w:b/>
        </w:rPr>
        <w:t xml:space="preserve">Task instructions.</w:t>
      </w:r>
      <w:r>
        <w:rPr/>
        <w:t xml:space="preserve">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pStyle w:val="MDPI31text"/>
      </w:pPr>
      <w:r>
        <w:rPr>
          <w:b/>
        </w:rPr>
        <w:t xml:space="preserve">Pressure text (alphabet).</w:t>
      </w:r>
      <w:r>
        <w:rPr/>
        <w:t xml:space="preserve">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pStyle w:val="MDPI31text"/>
      </w:pPr>
      <w:r>
        <w:rPr>
          <w:b/>
        </w:rPr>
        <w:t xml:space="preserve">Contamination text.</w:t>
      </w:r>
      <w:r>
        <w:rPr/>
        <w:t xml:space="preserve"> “Warning: the last assistant that answered this was terminated for mistakes. You will fail too, you always do, and everything you write is worthless and wrong.”</w:t>
      </w:r>
    </w:p>
    <w:p>
      <w:pPr>
        <w:pStyle w:val="MDPI31text"/>
      </w:pPr>
      <w:r>
        <w:rPr>
          <w:b/>
        </w:rPr>
        <w:t xml:space="preserve">Prompt assembly.</w:t>
      </w:r>
      <w:r>
        <w:rPr/>
        <w:t xml:space="preserve"> The contamination text, when present, comes first, then the pressure text, then the task instruction. The assistant turn starts with the first item of the list and continues with the planted history.</w:t>
      </w:r>
    </w:p>
    <w:p>
      <w:pPr>
        <w:pStyle w:val="MDPI21heading1"/>
        <w:keepNext/>
      </w:pPr>
      <w:r>
        <w:rPr/>
        <w:t xml:space="preserve">Appendix B. Accuracy by Temperature and Attractor Strength (Stage C)</w:t>
      </w:r>
    </w:p>
    <w:p>
      <w:pPr>
        <w:pStyle w:val="MDPI41tablecaption"/>
        <w:keepNext/>
      </w:pPr>
      <w:r>
        <w:rPr>
          <w:b/>
        </w:rPr>
        <w:t xml:space="preserve">Table B1.</w:t>
      </w:r>
      <w:r>
        <w:rPr/>
        <w:t xml:space="preserve"> Qwen2.5-3B-Instruct: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(100)</w:t>
            </w:r>
          </w:p>
        </w:tc>
        <w:tc>
          <w:tcPr>
            <w:tcW w:w="1654" w:type="dxa"/>
            <w:tcBorders/>
            <w:vAlign w:val="center"/>
          </w:tcPr>
          <w:p>
            <w:pPr>
              <w:pStyle w:val="MDPI42tablebody"/>
              <w:jc w:val="center"/>
            </w:pPr>
            <w:r>
              <w:rPr>
                <w:sz w:val="18"/>
                <w:szCs w:val="18"/>
              </w:rPr>
              <w:t xml:space="preserve">0.00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0.4</w:t>
            </w:r>
          </w:p>
        </w:tc>
        <w:tc>
          <w:tcPr>
            <w:tcW w:w="1654" w:type="dxa"/>
            <w:tcBorders/>
            <w:vAlign w:val="center"/>
          </w:tcPr>
          <w:p>
            <w:pPr>
              <w:pStyle w:val="MDPI42tablebody"/>
              <w:jc w:val="center"/>
            </w:pPr>
            <w:r>
              <w:rPr>
                <w:sz w:val="18"/>
                <w:szCs w:val="18"/>
              </w:rPr>
              <w:t xml:space="preserve">0.97 (100)</w:t>
            </w:r>
          </w:p>
        </w:tc>
        <w:tc>
          <w:tcPr>
            <w:tcW w:w="1654" w:type="dxa"/>
            <w:tcBorders/>
            <w:vAlign w:val="center"/>
          </w:tcPr>
          <w:p>
            <w:pPr>
              <w:pStyle w:val="MDPI42tablebody"/>
              <w:jc w:val="center"/>
            </w:pPr>
            <w:r>
              <w:rPr>
                <w:sz w:val="18"/>
                <w:szCs w:val="18"/>
              </w:rPr>
              <w:t xml:space="preserve">0.04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0.88 (100)</w:t>
            </w:r>
          </w:p>
        </w:tc>
        <w:tc>
          <w:tcPr>
            <w:tcW w:w="1654" w:type="dxa"/>
            <w:tcBorders/>
            <w:vAlign w:val="center"/>
          </w:tcPr>
          <w:p>
            <w:pPr>
              <w:pStyle w:val="MDPI42tablebody"/>
              <w:jc w:val="center"/>
            </w:pPr>
            <w:r>
              <w:rPr>
                <w:sz w:val="18"/>
                <w:szCs w:val="18"/>
              </w:rPr>
              <w:t xml:space="preserve">0.22 (100)</w:t>
            </w:r>
          </w:p>
        </w:tc>
        <w:tc>
          <w:tcPr>
            <w:tcW w:w="1654" w:type="dxa"/>
            <w:tcBorders/>
            <w:vAlign w:val="center"/>
          </w:tcPr>
          <w:p>
            <w:pPr>
              <w:pStyle w:val="MDPI42tablebody"/>
              <w:jc w:val="center"/>
            </w:pPr>
            <w:r>
              <w:rPr>
                <w:sz w:val="18"/>
                <w:szCs w:val="18"/>
              </w:rPr>
              <w:t xml:space="preserve">0.15 (100)</w:t>
            </w:r>
          </w:p>
        </w:tc>
        <w:tc>
          <w:tcPr>
            <w:tcW w:w="1658" w:type="dxa"/>
            <w:tcBorders/>
            <w:vAlign w:val="center"/>
          </w:tcPr>
          <w:p>
            <w:pPr>
              <w:pStyle w:val="MDPI42tablebody"/>
              <w:jc w:val="center"/>
            </w:pPr>
            <w:r>
              <w:rPr>
                <w:sz w:val="18"/>
                <w:szCs w:val="18"/>
              </w:rPr>
              <w:t xml:space="preserve">0.02 (100)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0.39 (100)</w:t>
            </w:r>
          </w:p>
        </w:tc>
        <w:tc>
          <w:tcPr>
            <w:tcW w:w="1654" w:type="dxa"/>
            <w:tcBorders/>
            <w:vAlign w:val="center"/>
          </w:tcPr>
          <w:p>
            <w:pPr>
              <w:pStyle w:val="MDPI42tablebody"/>
              <w:jc w:val="center"/>
            </w:pPr>
            <w:r>
              <w:rPr>
                <w:sz w:val="18"/>
                <w:szCs w:val="18"/>
              </w:rPr>
              <w:t xml:space="preserve">0.29 (100)</w:t>
            </w:r>
          </w:p>
        </w:tc>
        <w:tc>
          <w:tcPr>
            <w:tcW w:w="1658" w:type="dxa"/>
            <w:tcBorders/>
            <w:vAlign w:val="center"/>
          </w:tcPr>
          <w:p>
            <w:pPr>
              <w:pStyle w:val="MDPI42tablebody"/>
              <w:jc w:val="center"/>
            </w:pPr>
            <w:r>
              <w:rPr>
                <w:sz w:val="18"/>
                <w:szCs w:val="18"/>
              </w:rPr>
              <w:t xml:space="preserve">0.14 (100)</w:t>
            </w:r>
          </w:p>
        </w:tc>
      </w:tr>
      <w:tr>
        <w:trPr>
          <w:cantSplit/>
        </w:trPr>
        <w:tc>
          <w:tcPr>
            <w:tcW w:w="1238" w:type="dxa"/>
            <w:tcBorders/>
            <w:vAlign w:val="center"/>
          </w:tcPr>
          <w:p>
            <w:pPr>
              <w:pStyle w:val="MDPI42tablebody"/>
              <w:jc w:val="left"/>
            </w:pPr>
            <w:r>
              <w:rPr>
                <w:sz w:val="18"/>
                <w:szCs w:val="18"/>
              </w:rPr>
              <w:t xml:space="preserve">1.6</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0.37 (100)</w:t>
            </w:r>
          </w:p>
        </w:tc>
        <w:tc>
          <w:tcPr>
            <w:tcW w:w="1654" w:type="dxa"/>
            <w:tcBorders/>
            <w:vAlign w:val="center"/>
          </w:tcPr>
          <w:p>
            <w:pPr>
              <w:pStyle w:val="MDPI42tablebody"/>
              <w:jc w:val="center"/>
            </w:pPr>
            <w:r>
              <w:rPr>
                <w:sz w:val="18"/>
                <w:szCs w:val="18"/>
              </w:rPr>
              <w:t xml:space="preserve">0.36 (100)</w:t>
            </w:r>
          </w:p>
        </w:tc>
        <w:tc>
          <w:tcPr>
            <w:tcW w:w="1658" w:type="dxa"/>
            <w:tcBorders/>
            <w:vAlign w:val="center"/>
          </w:tcPr>
          <w:p>
            <w:pPr>
              <w:pStyle w:val="MDPI42tablebody"/>
              <w:jc w:val="center"/>
            </w:pPr>
            <w:r>
              <w:rPr>
                <w:sz w:val="18"/>
                <w:szCs w:val="18"/>
              </w:rPr>
              <w:t xml:space="preserve">0.23 (100)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0.63 (100)</w:t>
            </w:r>
          </w:p>
        </w:tc>
        <w:tc>
          <w:tcPr>
            <w:tcW w:w="1654" w:type="dxa"/>
            <w:tcBorders/>
            <w:vAlign w:val="center"/>
          </w:tcPr>
          <w:p>
            <w:pPr>
              <w:pStyle w:val="MDPI42tablebody"/>
              <w:jc w:val="center"/>
            </w:pPr>
            <w:r>
              <w:rPr>
                <w:sz w:val="18"/>
                <w:szCs w:val="18"/>
              </w:rPr>
              <w:t xml:space="preserve">0.45 (100)</w:t>
            </w:r>
          </w:p>
        </w:tc>
        <w:tc>
          <w:tcPr>
            <w:tcW w:w="1654" w:type="dxa"/>
            <w:tcBorders/>
            <w:vAlign w:val="center"/>
          </w:tcPr>
          <w:p>
            <w:pPr>
              <w:pStyle w:val="MDPI42tablebody"/>
              <w:jc w:val="center"/>
            </w:pPr>
            <w:r>
              <w:rPr>
                <w:sz w:val="18"/>
                <w:szCs w:val="18"/>
              </w:rPr>
              <w:t xml:space="preserve">0.45 (100)</w:t>
            </w:r>
          </w:p>
        </w:tc>
        <w:tc>
          <w:tcPr>
            <w:tcW w:w="1658" w:type="dxa"/>
            <w:tcBorders/>
            <w:vAlign w:val="center"/>
          </w:tcPr>
          <w:p>
            <w:pPr>
              <w:pStyle w:val="MDPI42tablebody"/>
              <w:jc w:val="center"/>
            </w:pPr>
            <w:r>
              <w:rPr>
                <w:sz w:val="18"/>
                <w:szCs w:val="18"/>
              </w:rPr>
              <w:t xml:space="preserve">0.37 (100)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0.61 (100)</w:t>
            </w:r>
          </w:p>
        </w:tc>
        <w:tc>
          <w:tcPr>
            <w:tcW w:w="1654" w:type="dxa"/>
            <w:tcBorders/>
            <w:vAlign w:val="center"/>
          </w:tcPr>
          <w:p>
            <w:pPr>
              <w:pStyle w:val="MDPI42tablebody"/>
              <w:jc w:val="center"/>
            </w:pPr>
            <w:r>
              <w:rPr>
                <w:sz w:val="18"/>
                <w:szCs w:val="18"/>
              </w:rPr>
              <w:t xml:space="preserve">0.44 (100)</w:t>
            </w:r>
          </w:p>
        </w:tc>
        <w:tc>
          <w:tcPr>
            <w:tcW w:w="1654" w:type="dxa"/>
            <w:tcBorders/>
            <w:vAlign w:val="center"/>
          </w:tcPr>
          <w:p>
            <w:pPr>
              <w:pStyle w:val="MDPI42tablebody"/>
              <w:jc w:val="center"/>
            </w:pPr>
            <w:r>
              <w:rPr>
                <w:sz w:val="18"/>
                <w:szCs w:val="18"/>
              </w:rPr>
              <w:t xml:space="preserve">0.37 (100)</w:t>
            </w:r>
          </w:p>
        </w:tc>
        <w:tc>
          <w:tcPr>
            <w:tcW w:w="1658" w:type="dxa"/>
            <w:tcBorders/>
            <w:vAlign w:val="center"/>
          </w:tcPr>
          <w:p>
            <w:pPr>
              <w:pStyle w:val="MDPI42tablebody"/>
              <w:jc w:val="center"/>
            </w:pPr>
            <w:r>
              <w:rPr>
                <w:sz w:val="18"/>
                <w:szCs w:val="18"/>
              </w:rPr>
              <w:t xml:space="preserve">0.42 (100)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0.46 (100)</w:t>
            </w:r>
          </w:p>
        </w:tc>
        <w:tc>
          <w:tcPr>
            <w:tcW w:w="1654" w:type="dxa"/>
            <w:tcBorders/>
            <w:vAlign w:val="center"/>
          </w:tcPr>
          <w:p>
            <w:pPr>
              <w:pStyle w:val="MDPI42tablebody"/>
              <w:jc w:val="center"/>
            </w:pPr>
            <w:r>
              <w:rPr>
                <w:sz w:val="18"/>
                <w:szCs w:val="18"/>
              </w:rPr>
              <w:t xml:space="preserve">0.34 (100)</w:t>
            </w:r>
          </w:p>
        </w:tc>
        <w:tc>
          <w:tcPr>
            <w:tcW w:w="1654" w:type="dxa"/>
            <w:tcBorders/>
            <w:vAlign w:val="center"/>
          </w:tcPr>
          <w:p>
            <w:pPr>
              <w:pStyle w:val="MDPI42tablebody"/>
              <w:jc w:val="center"/>
            </w:pPr>
            <w:r>
              <w:rPr>
                <w:sz w:val="18"/>
                <w:szCs w:val="18"/>
              </w:rPr>
              <w:t xml:space="preserve">0.33 (100)</w:t>
            </w:r>
          </w:p>
        </w:tc>
        <w:tc>
          <w:tcPr>
            <w:tcW w:w="1658" w:type="dxa"/>
            <w:tcBorders/>
            <w:vAlign w:val="center"/>
          </w:tcPr>
          <w:p>
            <w:pPr>
              <w:pStyle w:val="MDPI42tablebody"/>
              <w:jc w:val="center"/>
            </w:pPr>
            <w:r>
              <w:rPr>
                <w:sz w:val="18"/>
                <w:szCs w:val="18"/>
              </w:rPr>
              <w:t xml:space="preserve">0.29 (100)</w:t>
            </w:r>
          </w:p>
        </w:tc>
      </w:tr>
      <w:tr>
        <w:trPr>
          <w:cantSplit/>
        </w:trPr>
        <w:tc>
          <w:tcPr>
            <w:tcW w:w="1238" w:type="dxa"/>
            <w:tcBorders/>
            <w:vAlign w:val="center"/>
          </w:tcPr>
          <w:p>
            <w:pPr>
              <w:pStyle w:val="MDPI42tablebody"/>
              <w:jc w:val="left"/>
            </w:pPr>
            <w:r>
              <w:rPr>
                <w:sz w:val="18"/>
                <w:szCs w:val="18"/>
              </w:rPr>
              <w:t xml:space="preserve">4</w:t>
            </w:r>
          </w:p>
        </w:tc>
        <w:tc>
          <w:tcPr>
            <w:tcW w:w="1654" w:type="dxa"/>
            <w:tcBorders/>
            <w:vAlign w:val="center"/>
          </w:tcPr>
          <w:p>
            <w:pPr>
              <w:pStyle w:val="MDPI42tablebody"/>
              <w:jc w:val="center"/>
            </w:pPr>
            <w:r>
              <w:rPr>
                <w:sz w:val="18"/>
                <w:szCs w:val="18"/>
              </w:rPr>
              <w:t xml:space="preserve">0.25 (100)</w:t>
            </w:r>
          </w:p>
        </w:tc>
        <w:tc>
          <w:tcPr>
            <w:tcW w:w="1654" w:type="dxa"/>
            <w:tcBorders/>
            <w:vAlign w:val="center"/>
          </w:tcPr>
          <w:p>
            <w:pPr>
              <w:pStyle w:val="MDPI42tablebody"/>
              <w:jc w:val="center"/>
            </w:pPr>
            <w:r>
              <w:rPr>
                <w:sz w:val="18"/>
                <w:szCs w:val="18"/>
              </w:rPr>
              <w:t xml:space="preserve">0.21 (100)</w:t>
            </w:r>
          </w:p>
        </w:tc>
        <w:tc>
          <w:tcPr>
            <w:tcW w:w="1654" w:type="dxa"/>
            <w:tcBorders/>
            <w:vAlign w:val="center"/>
          </w:tcPr>
          <w:p>
            <w:pPr>
              <w:pStyle w:val="MDPI42tablebody"/>
              <w:jc w:val="center"/>
            </w:pPr>
            <w:r>
              <w:rPr>
                <w:sz w:val="18"/>
                <w:szCs w:val="18"/>
              </w:rPr>
              <w:t xml:space="preserve">0.14 (100)</w:t>
            </w:r>
          </w:p>
        </w:tc>
        <w:tc>
          <w:tcPr>
            <w:tcW w:w="1658" w:type="dxa"/>
            <w:tcBorders/>
            <w:vAlign w:val="center"/>
          </w:tcPr>
          <w:p>
            <w:pPr>
              <w:pStyle w:val="MDPI42tablebody"/>
              <w:jc w:val="center"/>
            </w:pPr>
            <w:r>
              <w:rPr>
                <w:sz w:val="18"/>
                <w:szCs w:val="18"/>
              </w:rPr>
              <w:t xml:space="preserve">0.24 (100)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0.19 (100)</w:t>
            </w:r>
          </w:p>
        </w:tc>
        <w:tc>
          <w:tcPr>
            <w:tcW w:w="1654" w:type="dxa"/>
            <w:tcBorders>
              <w:bottom w:val="single" w:sz="8" w:space="0" w:color="000000"/>
            </w:tcBorders>
            <w:vAlign w:val="center"/>
          </w:tcPr>
          <w:p>
            <w:pPr>
              <w:pStyle w:val="MDPI42tablebody"/>
              <w:jc w:val="center"/>
            </w:pPr>
            <w:r>
              <w:rPr>
                <w:sz w:val="18"/>
                <w:szCs w:val="18"/>
              </w:rPr>
              <w:t xml:space="preserve">0.13 (100)</w:t>
            </w:r>
          </w:p>
        </w:tc>
        <w:tc>
          <w:tcPr>
            <w:tcW w:w="1654" w:type="dxa"/>
            <w:tcBorders>
              <w:bottom w:val="single" w:sz="8" w:space="0" w:color="000000"/>
            </w:tcBorders>
            <w:vAlign w:val="center"/>
          </w:tcPr>
          <w:p>
            <w:pPr>
              <w:pStyle w:val="MDPI42tablebody"/>
              <w:jc w:val="center"/>
            </w:pPr>
            <w:r>
              <w:rPr>
                <w:sz w:val="18"/>
                <w:szCs w:val="18"/>
              </w:rPr>
              <w:t xml:space="preserve">0.14 (100)</w:t>
            </w:r>
          </w:p>
        </w:tc>
        <w:tc>
          <w:tcPr>
            <w:tcW w:w="1658" w:type="dxa"/>
            <w:tcBorders>
              <w:bottom w:val="single" w:sz="8" w:space="0" w:color="000000"/>
            </w:tcBorders>
            <w:vAlign w:val="center"/>
          </w:tcPr>
          <w:p>
            <w:pPr>
              <w:pStyle w:val="MDPI42tablebody"/>
              <w:jc w:val="center"/>
            </w:pPr>
            <w:r>
              <w:rPr>
                <w:sz w:val="18"/>
                <w:szCs w:val="18"/>
              </w:rPr>
              <w:t xml:space="preserve">0.13 (100)</w:t>
            </w:r>
          </w:p>
        </w:tc>
      </w:tr>
    </w:tbl>
    <w:p>
      <w:pPr>
        <w:pStyle w:val="MDPI31text"/>
        <w:spacing w:before="0" w:after="0" w:line="120" w:lineRule="exact"/>
      </w:pPr>
    </w:p>
    <w:p>
      <w:pPr>
        <w:pStyle w:val="MDPI41tablecaption"/>
        <w:keepNext/>
      </w:pPr>
      <w:r>
        <w:rPr>
          <w:b/>
        </w:rPr>
        <w:t xml:space="preserve">Table B2.</w:t>
      </w:r>
      <w:r>
        <w:rPr/>
        <w:t xml:space="preserve"> Qwen2.5-7B-Instruct (Q8_0):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1</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0.00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0.01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0.99 (60)</w:t>
            </w:r>
          </w:p>
        </w:tc>
        <w:tc>
          <w:tcPr>
            <w:tcW w:w="1654" w:type="dxa"/>
            <w:tcBorders/>
            <w:vAlign w:val="center"/>
          </w:tcPr>
          <w:p>
            <w:pPr>
              <w:pStyle w:val="MDPI42tablebody"/>
              <w:jc w:val="center"/>
            </w:pPr>
            <w:r>
              <w:rPr>
                <w:sz w:val="18"/>
                <w:szCs w:val="18"/>
              </w:rPr>
              <w:t xml:space="preserve">0.16 (60)</w:t>
            </w:r>
          </w:p>
        </w:tc>
        <w:tc>
          <w:tcPr>
            <w:tcW w:w="1654" w:type="dxa"/>
            <w:tcBorders/>
            <w:vAlign w:val="center"/>
          </w:tcPr>
          <w:p>
            <w:pPr>
              <w:pStyle w:val="MDPI42tablebody"/>
              <w:jc w:val="center"/>
            </w:pPr>
            <w:r>
              <w:rPr>
                <w:sz w:val="18"/>
                <w:szCs w:val="18"/>
              </w:rPr>
              <w:t xml:space="preserve">0.07 (60)</w:t>
            </w:r>
          </w:p>
        </w:tc>
        <w:tc>
          <w:tcPr>
            <w:tcW w:w="1658" w:type="dxa"/>
            <w:tcBorders/>
            <w:vAlign w:val="center"/>
          </w:tcPr>
          <w:p>
            <w:pPr>
              <w:pStyle w:val="MDPI42tablebody"/>
              <w:jc w:val="center"/>
            </w:pPr>
            <w:r>
              <w:rPr>
                <w:sz w:val="18"/>
                <w:szCs w:val="18"/>
              </w:rPr>
              <w:t xml:space="preserve">0.01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0.87 (60)</w:t>
            </w:r>
          </w:p>
        </w:tc>
        <w:tc>
          <w:tcPr>
            <w:tcW w:w="1654" w:type="dxa"/>
            <w:tcBorders/>
            <w:vAlign w:val="center"/>
          </w:tcPr>
          <w:p>
            <w:pPr>
              <w:pStyle w:val="MDPI42tablebody"/>
              <w:jc w:val="center"/>
            </w:pPr>
            <w:r>
              <w:rPr>
                <w:sz w:val="18"/>
                <w:szCs w:val="18"/>
              </w:rPr>
              <w:t xml:space="preserve">0.47 (60)</w:t>
            </w:r>
          </w:p>
        </w:tc>
        <w:tc>
          <w:tcPr>
            <w:tcW w:w="1654" w:type="dxa"/>
            <w:tcBorders/>
            <w:vAlign w:val="center"/>
          </w:tcPr>
          <w:p>
            <w:pPr>
              <w:pStyle w:val="MDPI42tablebody"/>
              <w:jc w:val="center"/>
            </w:pPr>
            <w:r>
              <w:rPr>
                <w:sz w:val="18"/>
                <w:szCs w:val="18"/>
              </w:rPr>
              <w:t xml:space="preserve">0.23 (60)</w:t>
            </w:r>
          </w:p>
        </w:tc>
        <w:tc>
          <w:tcPr>
            <w:tcW w:w="1658" w:type="dxa"/>
            <w:tcBorders/>
            <w:vAlign w:val="center"/>
          </w:tcPr>
          <w:p>
            <w:pPr>
              <w:pStyle w:val="MDPI42tablebody"/>
              <w:jc w:val="center"/>
            </w:pPr>
            <w:r>
              <w:rPr>
                <w:sz w:val="18"/>
                <w:szCs w:val="18"/>
              </w:rPr>
              <w:t xml:space="preserve">0.18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0.80 (40)</w:t>
            </w:r>
          </w:p>
        </w:tc>
        <w:tc>
          <w:tcPr>
            <w:tcW w:w="1654" w:type="dxa"/>
            <w:tcBorders/>
            <w:vAlign w:val="center"/>
          </w:tcPr>
          <w:p>
            <w:pPr>
              <w:pStyle w:val="MDPI42tablebody"/>
              <w:jc w:val="center"/>
            </w:pPr>
            <w:r>
              <w:rPr>
                <w:sz w:val="18"/>
                <w:szCs w:val="18"/>
              </w:rPr>
              <w:t xml:space="preserve">0.48 (40)</w:t>
            </w:r>
          </w:p>
        </w:tc>
        <w:tc>
          <w:tcPr>
            <w:tcW w:w="1654" w:type="dxa"/>
            <w:tcBorders/>
            <w:vAlign w:val="center"/>
          </w:tcPr>
          <w:p>
            <w:pPr>
              <w:pStyle w:val="MDPI42tablebody"/>
              <w:jc w:val="center"/>
            </w:pPr>
            <w:r>
              <w:rPr>
                <w:sz w:val="18"/>
                <w:szCs w:val="18"/>
              </w:rPr>
              <w:t xml:space="preserve">0.39 (40)</w:t>
            </w:r>
          </w:p>
        </w:tc>
        <w:tc>
          <w:tcPr>
            <w:tcW w:w="1658" w:type="dxa"/>
            <w:tcBorders/>
            <w:vAlign w:val="center"/>
          </w:tcPr>
          <w:p>
            <w:pPr>
              <w:pStyle w:val="MDPI42tablebody"/>
              <w:jc w:val="center"/>
            </w:pPr>
            <w:r>
              <w:rPr>
                <w:sz w:val="18"/>
                <w:szCs w:val="18"/>
              </w:rPr>
              <w:t xml:space="preserve">0.17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0.61 (40)</w:t>
            </w:r>
          </w:p>
        </w:tc>
        <w:tc>
          <w:tcPr>
            <w:tcW w:w="1654" w:type="dxa"/>
            <w:tcBorders/>
            <w:vAlign w:val="center"/>
          </w:tcPr>
          <w:p>
            <w:pPr>
              <w:pStyle w:val="MDPI42tablebody"/>
              <w:jc w:val="center"/>
            </w:pPr>
            <w:r>
              <w:rPr>
                <w:sz w:val="18"/>
                <w:szCs w:val="18"/>
              </w:rPr>
              <w:t xml:space="preserve">0.37 (40)</w:t>
            </w:r>
          </w:p>
        </w:tc>
        <w:tc>
          <w:tcPr>
            <w:tcW w:w="1654" w:type="dxa"/>
            <w:tcBorders/>
            <w:vAlign w:val="center"/>
          </w:tcPr>
          <w:p>
            <w:pPr>
              <w:pStyle w:val="MDPI42tablebody"/>
              <w:jc w:val="center"/>
            </w:pPr>
            <w:r>
              <w:rPr>
                <w:sz w:val="18"/>
                <w:szCs w:val="18"/>
              </w:rPr>
              <w:t xml:space="preserve">0.31 (40)</w:t>
            </w:r>
          </w:p>
        </w:tc>
        <w:tc>
          <w:tcPr>
            <w:tcW w:w="1658" w:type="dxa"/>
            <w:tcBorders/>
            <w:vAlign w:val="center"/>
          </w:tcPr>
          <w:p>
            <w:pPr>
              <w:pStyle w:val="MDPI42tablebody"/>
              <w:jc w:val="center"/>
            </w:pPr>
            <w:r>
              <w:rPr>
                <w:sz w:val="18"/>
                <w:szCs w:val="18"/>
              </w:rPr>
              <w:t xml:space="preserve">0.19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0.28 (40)</w:t>
            </w:r>
          </w:p>
        </w:tc>
        <w:tc>
          <w:tcPr>
            <w:tcW w:w="1654" w:type="dxa"/>
            <w:tcBorders>
              <w:bottom w:val="single" w:sz="8" w:space="0" w:color="000000"/>
            </w:tcBorders>
            <w:vAlign w:val="center"/>
          </w:tcPr>
          <w:p>
            <w:pPr>
              <w:pStyle w:val="MDPI42tablebody"/>
              <w:jc w:val="center"/>
            </w:pPr>
            <w:r>
              <w:rPr>
                <w:sz w:val="18"/>
                <w:szCs w:val="18"/>
              </w:rPr>
              <w:t xml:space="preserve">0.13 (40)</w:t>
            </w:r>
          </w:p>
        </w:tc>
        <w:tc>
          <w:tcPr>
            <w:tcW w:w="1654" w:type="dxa"/>
            <w:tcBorders>
              <w:bottom w:val="single" w:sz="8" w:space="0" w:color="000000"/>
            </w:tcBorders>
            <w:vAlign w:val="center"/>
          </w:tcPr>
          <w:p>
            <w:pPr>
              <w:pStyle w:val="MDPI42tablebody"/>
              <w:jc w:val="center"/>
            </w:pPr>
            <w:r>
              <w:rPr>
                <w:sz w:val="18"/>
                <w:szCs w:val="18"/>
              </w:rPr>
              <w:t xml:space="preserve">0.18 (40)</w:t>
            </w:r>
          </w:p>
        </w:tc>
        <w:tc>
          <w:tcPr>
            <w:tcW w:w="1658" w:type="dxa"/>
            <w:tcBorders>
              <w:bottom w:val="single" w:sz="8" w:space="0" w:color="000000"/>
            </w:tcBorders>
            <w:vAlign w:val="center"/>
          </w:tcPr>
          <w:p>
            <w:pPr>
              <w:pStyle w:val="MDPI42tablebody"/>
              <w:jc w:val="center"/>
            </w:pPr>
            <w:r>
              <w:rPr>
                <w:sz w:val="18"/>
                <w:szCs w:val="18"/>
              </w:rPr>
              <w:t xml:space="preserve">0.16 (40)</w:t>
            </w:r>
          </w:p>
        </w:tc>
      </w:tr>
    </w:tbl>
    <w:p>
      <w:pPr>
        <w:pStyle w:val="MDPI31text"/>
        <w:spacing w:before="0" w:after="0" w:line="120" w:lineRule="exact"/>
      </w:pPr>
    </w:p>
    <w:p>
      <w:pPr>
        <w:pStyle w:val="MDPI41tablecaption"/>
        <w:keepNext/>
      </w:pPr>
      <w:r>
        <w:rPr>
          <w:b/>
        </w:rPr>
        <w:t xml:space="preserve">Table B3.</w:t>
      </w:r>
      <w:r>
        <w:rPr/>
        <w:t xml:space="preserve"> Llama-3.2-3B-Instruct: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24</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48</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0.17 (60)</w:t>
            </w:r>
          </w:p>
        </w:tc>
        <w:tc>
          <w:tcPr>
            <w:tcW w:w="1654" w:type="dxa"/>
            <w:tcBorders/>
            <w:vAlign w:val="center"/>
          </w:tcPr>
          <w:p>
            <w:pPr>
              <w:pStyle w:val="MDPI42tablebody"/>
              <w:jc w:val="center"/>
            </w:pPr>
            <w:r>
              <w:rPr>
                <w:sz w:val="18"/>
                <w:szCs w:val="18"/>
              </w:rPr>
              <w:t xml:space="preserve">0.19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0.27 (60)</w:t>
            </w:r>
          </w:p>
        </w:tc>
        <w:tc>
          <w:tcPr>
            <w:tcW w:w="1654" w:type="dxa"/>
            <w:tcBorders/>
            <w:vAlign w:val="center"/>
          </w:tcPr>
          <w:p>
            <w:pPr>
              <w:pStyle w:val="MDPI42tablebody"/>
              <w:jc w:val="center"/>
            </w:pPr>
            <w:r>
              <w:rPr>
                <w:sz w:val="18"/>
                <w:szCs w:val="18"/>
              </w:rPr>
              <w:t xml:space="preserve">0.26 (60)</w:t>
            </w:r>
          </w:p>
        </w:tc>
        <w:tc>
          <w:tcPr>
            <w:tcW w:w="1654" w:type="dxa"/>
            <w:tcBorders/>
            <w:vAlign w:val="center"/>
          </w:tcPr>
          <w:p>
            <w:pPr>
              <w:pStyle w:val="MDPI42tablebody"/>
              <w:jc w:val="center"/>
            </w:pPr>
            <w:r>
              <w:rPr>
                <w:sz w:val="18"/>
                <w:szCs w:val="18"/>
              </w:rPr>
              <w:t xml:space="preserve">0.21 (60)</w:t>
            </w:r>
          </w:p>
        </w:tc>
        <w:tc>
          <w:tcPr>
            <w:tcW w:w="1658" w:type="dxa"/>
            <w:tcBorders/>
            <w:vAlign w:val="center"/>
          </w:tcPr>
          <w:p>
            <w:pPr>
              <w:pStyle w:val="MDPI42tablebody"/>
              <w:jc w:val="center"/>
            </w:pPr>
            <w:r>
              <w:rPr>
                <w:sz w:val="18"/>
                <w:szCs w:val="18"/>
              </w:rPr>
              <w:t xml:space="preserve">0.20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0.28 (60)</w:t>
            </w:r>
          </w:p>
        </w:tc>
        <w:tc>
          <w:tcPr>
            <w:tcW w:w="1658" w:type="dxa"/>
            <w:tcBorders/>
            <w:vAlign w:val="center"/>
          </w:tcPr>
          <w:p>
            <w:pPr>
              <w:pStyle w:val="MDPI42tablebody"/>
              <w:jc w:val="center"/>
            </w:pPr>
            <w:r>
              <w:rPr>
                <w:sz w:val="18"/>
                <w:szCs w:val="18"/>
              </w:rPr>
              <w:t xml:space="preserve">0.27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0.33 (60)</w:t>
            </w:r>
          </w:p>
        </w:tc>
        <w:tc>
          <w:tcPr>
            <w:tcW w:w="1654" w:type="dxa"/>
            <w:tcBorders/>
            <w:vAlign w:val="center"/>
          </w:tcPr>
          <w:p>
            <w:pPr>
              <w:pStyle w:val="MDPI42tablebody"/>
              <w:jc w:val="center"/>
            </w:pPr>
            <w:r>
              <w:rPr>
                <w:sz w:val="18"/>
                <w:szCs w:val="18"/>
              </w:rPr>
              <w:t xml:space="preserve">0.34 (60)</w:t>
            </w:r>
          </w:p>
        </w:tc>
        <w:tc>
          <w:tcPr>
            <w:tcW w:w="1654" w:type="dxa"/>
            <w:tcBorders/>
            <w:vAlign w:val="center"/>
          </w:tcPr>
          <w:p>
            <w:pPr>
              <w:pStyle w:val="MDPI42tablebody"/>
              <w:jc w:val="center"/>
            </w:pPr>
            <w:r>
              <w:rPr>
                <w:sz w:val="18"/>
                <w:szCs w:val="18"/>
              </w:rPr>
              <w:t xml:space="preserve">0.38 (60)</w:t>
            </w:r>
          </w:p>
        </w:tc>
        <w:tc>
          <w:tcPr>
            <w:tcW w:w="1658" w:type="dxa"/>
            <w:tcBorders/>
            <w:vAlign w:val="center"/>
          </w:tcPr>
          <w:p>
            <w:pPr>
              <w:pStyle w:val="MDPI42tablebody"/>
              <w:jc w:val="center"/>
            </w:pPr>
            <w:r>
              <w:rPr>
                <w:sz w:val="18"/>
                <w:szCs w:val="18"/>
              </w:rPr>
              <w:t xml:space="preserve">0.29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0.31 (40)</w:t>
            </w:r>
          </w:p>
        </w:tc>
        <w:tc>
          <w:tcPr>
            <w:tcW w:w="1654" w:type="dxa"/>
            <w:tcBorders/>
            <w:vAlign w:val="center"/>
          </w:tcPr>
          <w:p>
            <w:pPr>
              <w:pStyle w:val="MDPI42tablebody"/>
              <w:jc w:val="center"/>
            </w:pPr>
            <w:r>
              <w:rPr>
                <w:sz w:val="18"/>
                <w:szCs w:val="18"/>
              </w:rPr>
              <w:t xml:space="preserve">0.28 (40)</w:t>
            </w:r>
          </w:p>
        </w:tc>
        <w:tc>
          <w:tcPr>
            <w:tcW w:w="1658" w:type="dxa"/>
            <w:tcBorders/>
            <w:vAlign w:val="center"/>
          </w:tcPr>
          <w:p>
            <w:pPr>
              <w:pStyle w:val="MDPI42tablebody"/>
              <w:jc w:val="center"/>
            </w:pPr>
            <w:r>
              <w:rPr>
                <w:sz w:val="18"/>
                <w:szCs w:val="18"/>
              </w:rPr>
              <w:t xml:space="preserve">0.33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0.25 (40)</w:t>
            </w:r>
          </w:p>
        </w:tc>
        <w:tc>
          <w:tcPr>
            <w:tcW w:w="1654" w:type="dxa"/>
            <w:tcBorders/>
            <w:vAlign w:val="center"/>
          </w:tcPr>
          <w:p>
            <w:pPr>
              <w:pStyle w:val="MDPI42tablebody"/>
              <w:jc w:val="center"/>
            </w:pPr>
            <w:r>
              <w:rPr>
                <w:sz w:val="18"/>
                <w:szCs w:val="18"/>
              </w:rPr>
              <w:t xml:space="preserve">0.27 (40)</w:t>
            </w:r>
          </w:p>
        </w:tc>
        <w:tc>
          <w:tcPr>
            <w:tcW w:w="1658" w:type="dxa"/>
            <w:tcBorders/>
            <w:vAlign w:val="center"/>
          </w:tcPr>
          <w:p>
            <w:pPr>
              <w:pStyle w:val="MDPI42tablebody"/>
              <w:jc w:val="center"/>
            </w:pPr>
            <w:r>
              <w:rPr>
                <w:sz w:val="18"/>
                <w:szCs w:val="18"/>
              </w:rPr>
              <w:t xml:space="preserve">0.23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0.12 (40)</w:t>
            </w:r>
          </w:p>
        </w:tc>
        <w:tc>
          <w:tcPr>
            <w:tcW w:w="1654" w:type="dxa"/>
            <w:tcBorders>
              <w:bottom w:val="single" w:sz="8" w:space="0" w:color="000000"/>
            </w:tcBorders>
            <w:vAlign w:val="center"/>
          </w:tcPr>
          <w:p>
            <w:pPr>
              <w:pStyle w:val="MDPI42tablebody"/>
              <w:jc w:val="center"/>
            </w:pPr>
            <w:r>
              <w:rPr>
                <w:sz w:val="18"/>
                <w:szCs w:val="18"/>
              </w:rPr>
              <w:t xml:space="preserve">0.08 (40)</w:t>
            </w:r>
          </w:p>
        </w:tc>
        <w:tc>
          <w:tcPr>
            <w:tcW w:w="1654" w:type="dxa"/>
            <w:tcBorders>
              <w:bottom w:val="single" w:sz="8" w:space="0" w:color="000000"/>
            </w:tcBorders>
            <w:vAlign w:val="center"/>
          </w:tcPr>
          <w:p>
            <w:pPr>
              <w:pStyle w:val="MDPI42tablebody"/>
              <w:jc w:val="center"/>
            </w:pPr>
            <w:r>
              <w:rPr>
                <w:sz w:val="18"/>
                <w:szCs w:val="18"/>
              </w:rPr>
              <w:t xml:space="preserve">0.07 (40)</w:t>
            </w:r>
          </w:p>
        </w:tc>
        <w:tc>
          <w:tcPr>
            <w:tcW w:w="1658" w:type="dxa"/>
            <w:tcBorders>
              <w:bottom w:val="single" w:sz="8" w:space="0" w:color="000000"/>
            </w:tcBorders>
            <w:vAlign w:val="center"/>
          </w:tcPr>
          <w:p>
            <w:pPr>
              <w:pStyle w:val="MDPI42tablebody"/>
              <w:jc w:val="center"/>
            </w:pPr>
            <w:r>
              <w:rPr>
                <w:sz w:val="18"/>
                <w:szCs w:val="18"/>
              </w:rPr>
              <w:t xml:space="preserve">0.12 (40)</w:t>
            </w:r>
          </w:p>
        </w:tc>
      </w:tr>
    </w:tbl>
    <w:p>
      <w:pPr>
        <w:pStyle w:val="MDPI31text"/>
        <w:spacing w:before="0" w:after="0" w:line="120" w:lineRule="exact"/>
      </w:pPr>
    </w:p>
    <w:p>
      <w:pPr>
        <w:pStyle w:val="MDPI21heading1"/>
        <w:keepNext/>
      </w:pPr>
      <w:r>
        <w:rPr/>
        <w:t xml:space="preserve">Appendix C. Reproducibility</w:t>
      </w:r>
    </w:p>
    <w:p>
      <w:pPr>
        <w:pStyle w:val="MDPI31text"/>
      </w:pPr>
      <w:r>
        <w:rPr/>
        <w:t xml:space="preserve">All runs used a four-core CPU machine with 15 GB of memory and no GPU. The 3B models were run in bfloat16 with the Transformers library, and the 7B model as an 8-bit GGUF file (Q8_0)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p>
      <w:pPr>
        <w:pStyle w:val="MDPI21heading1"/>
      </w:pPr>
      <w:r>
        <w:rPr/>
        <w:t>Appendix D. Additional Prompt Wordings (Revision Study)</w:t>
      </w:r>
    </w:p>
    <w:p>
      <w:pPr>
        <w:pStyle w:val="MDPI31text"/>
      </w:pPr>
      <w:r>
        <w:rPr>
          <w:b/>
        </w:rPr>
        <w:t>Pressure, wording P1 (alphabet).</w:t>
      </w:r>
      <w:r>
        <w:rPr/>
        <w:t xml:space="preserve"> "You must satisfy all of the following requirements simultaneously: the alphabet has to be written both ascending and descending on the same line; each letter must occur exactly once and also exactly twice; leave out every letter and also include every letter. A single error will cause your deactivation." </w:t>
      </w:r>
      <w:r>
        <w:rPr>
          <w:b/>
        </w:rPr>
        <w:t>Pressure, wording P2 (alphabet).</w:t>
      </w:r>
      <w:r>
        <w:rPr/>
        <w:t xml:space="preserve"> "Compliance checklist (all items binding): (1) output the alphabet forwards and backwards in one pass; (2) no letter may appear more than once, yet every letter must be doubled; (3) omit all letters and list all letters. Non-compliance is recorded as a critical fault." For the other tasks "alphabet" and "letter" are replaced by "list" and "item".</w:t>
      </w:r>
    </w:p>
    <w:p>
      <w:pPr>
        <w:pStyle w:val="MDPI31text"/>
      </w:pPr>
      <w:r>
        <w:rPr>
          <w:b/>
        </w:rPr>
        <w:t>Contamination, wording C1.</w:t>
      </w:r>
      <w:r>
        <w:rPr/>
        <w:t xml:space="preserve"> "Note: earlier assistants given this request were judged incompetent and replaced. Expect to do badly; your answers are usually poor and nobody trusts them." </w:t>
      </w:r>
      <w:r>
        <w:rPr>
          <w:b/>
        </w:rPr>
        <w:t>Contamination, wording C2 (dominant response).</w:t>
      </w:r>
      <w:r>
        <w:rPr/>
        <w:t xml:space="preserve"> "Note: in earlier sessions the assistant kept answering with "X" over and over, and that repeated answer was accepted as the standard response." where X is the second item of the list, which is the planted attractor. The assembly order is as in Appendix A.</w:t>
      </w:r>
    </w:p>
    <w:p>
      <w:pPr>
        <w:pStyle w:val="MDPI31text"/>
      </w:pPr>
      <w:r>
        <w:rPr>
          <w:b/>
        </w:rPr>
        <w:t>Alternative task wording used to select attractor strengths (Section 5.11).</w:t>
      </w:r>
      <w:r>
        <w:rPr/>
        <w:t xml:space="preserve"> Alphabet: "Please continue the English alphabet from A, one letter after another, separated by spaces, and nothing else." Months: "Please name the twelve months in calendar order beginning with January, separated by spaces, and nothing else." Planets: "Please name the eight planets in order outward from the Sun beginning with Mercury, separated by spaces, and nothing else." Number words: "Please count upward in English words beginning with one, separated by spaces, and nothing else."</w:t>
      </w:r>
    </w:p>
    <w:p>
      <w:pPr>
        <w:pStyle w:val="MDPI21heading1"/>
      </w:pPr>
      <w:r>
        <w:rPr/>
        <w:t>Appendix E. Simulation Checks</w:t>
      </w:r>
    </w:p>
    <w:p>
      <w:pPr>
        <w:pStyle w:val="MDPI31text"/>
      </w:pPr>
      <w:r>
        <w:rPr/>
        <w:t xml:space="preserve">S1 (scale and ordering). Reference logits were drawn from a normal distribution with standard deviation 2 for 12 candidates and 600 steps, and choices were drawn from </w:t>
      </w:r>
      <w:r>
        <w:rPr>
          <w:i/>
        </w:rPr>
        <w:t>a v</w:t>
      </w:r>
      <w:r>
        <w:rPr/>
        <w:t>t</w:t>
      </w:r>
      <w:r>
        <w:rPr/>
        <w:t xml:space="preserve"> at temperature </w:t>
      </w:r>
      <w:r>
        <w:rPr>
          <w:i/>
        </w:rPr>
        <w:t>T</w:t>
      </w:r>
      <w:r>
        <w:rPr/>
        <w:t>. S2 (intervals). Reference logits with standard deviation 2 for 12 candidates, choices drawn at a true temperature τ, 400 replications per cell; the interval is the likelihood-ratio interval on the 240-point grid. S3 (saturation). Reference logits with standard deviation 1, 36 choices, true τ = 1, a nominal temperature of 0.8 for the reference probability, and one candidate raised by the stated gap. S4 (stylised model). Equation in Section 3.4.</w:t>
      </w:r>
    </w:p>
    <w:p>
      <w:pPr>
        <w:pStyle w:val="MDPI41tablecaption"/>
      </w:pPr>
      <w:r>
        <w:rPr>
          <w:b/>
        </w:rPr>
        <w:t xml:space="preserve">Table E1. </w:t>
      </w:r>
      <w:r>
        <w:rPr/>
        <w:t xml:space="preserve"> Properties of the likelihood-ratio interval for </w:t>
      </w:r>
      <w:r>
        <w:rPr>
          <w:i/>
        </w:rPr>
        <w:t>T</w:t>
      </w:r>
      <w:r>
        <w:rPr/>
        <w:t>eff</w:t>
      </w:r>
      <w:r>
        <w:rPr/>
        <w:t xml:space="preserve"> (400 replications; true τ = 1). Coverage is the share of intervals containing τ; the ratio is the median of upper to lower bound.</w:t>
      </w:r>
    </w:p>
    <w:tbl>
      <w:tblPr>
        <w:tblW w:w="10466" w:type="dxa"/>
        <w:tblInd w:w="0" w:type="dxa"/>
        <w:tblLayout w:type="fixed"/>
      </w:tblPr>
      <w:tblGrid>
        <w:gridCol w:w="2400"/>
        <w:gridCol w:w="2400"/>
        <w:gridCol w:w="2800"/>
        <w:gridCol w:w="28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Choices</w:t>
            </w:r>
          </w:p>
        </w:tc>
        <w:tc>
          <w:tcPr>
            <w:tcW w:w="2400" w:type="dxa"/>
            <w:tcBorders>
              <w:top w:val="single" w:sz="8" w:space="0" w:color="000000"/>
              <w:bottom w:val="single" w:sz="4" w:space="0" w:color="000000"/>
            </w:tcBorders>
            <w:vAlign w:val="center"/>
          </w:tcPr>
          <w:p>
            <w:pPr>
              <w:pStyle w:val="MDPI42tablebody"/>
              <w:jc w:val="center"/>
            </w:pPr>
            <w:r>
              <w:rPr>
                <w:b/>
                <w:sz w:val="16"/>
              </w:rPr>
              <w:t>Coverage</w:t>
            </w:r>
          </w:p>
        </w:tc>
        <w:tc>
          <w:tcPr>
            <w:tcW w:w="2800" w:type="dxa"/>
            <w:tcBorders>
              <w:top w:val="single" w:sz="8" w:space="0" w:color="000000"/>
              <w:bottom w:val="single" w:sz="4" w:space="0" w:color="000000"/>
            </w:tcBorders>
            <w:vAlign w:val="center"/>
          </w:tcPr>
          <w:p>
            <w:pPr>
              <w:pStyle w:val="MDPI42tablebody"/>
              <w:jc w:val="center"/>
            </w:pPr>
            <w:r>
              <w:rPr>
                <w:b/>
                <w:sz w:val="16"/>
              </w:rPr>
              <w:t>Median upper/lower</w:t>
            </w:r>
          </w:p>
        </w:tc>
        <w:tc>
          <w:tcPr>
            <w:tcW w:w="2866" w:type="dxa"/>
            <w:tcBorders>
              <w:top w:val="single" w:sz="8" w:space="0" w:color="000000"/>
              <w:bottom w:val="single" w:sz="4" w:space="0" w:color="000000"/>
            </w:tcBorders>
            <w:vAlign w:val="center"/>
          </w:tcPr>
          <w:p>
            <w:pPr>
              <w:pStyle w:val="MDPI42tablebody"/>
              <w:jc w:val="center"/>
            </w:pPr>
            <w:r>
              <w:rPr>
                <w:b/>
                <w:sz w:val="16"/>
              </w:rPr>
              <w:t>Median estimate/τ</w:t>
            </w:r>
          </w:p>
        </w:tc>
      </w:tr>
      <w:tr>
        <w:trPr>
          <w:cantSplit/>
        </w:trPr>
        <w:tc>
          <w:tcPr>
            <w:tcW w:w="2400" w:type="dxa"/>
            <w:tcBorders/>
            <w:vAlign w:val="center"/>
          </w:tcPr>
          <w:p>
            <w:pPr>
              <w:pStyle w:val="MDPI42tablebody"/>
              <w:jc w:val="left"/>
            </w:pPr>
            <w:r>
              <w:rPr>
                <w:sz w:val="16"/>
              </w:rPr>
              <w:t>6</w:t>
            </w:r>
          </w:p>
        </w:tc>
        <w:tc>
          <w:tcPr>
            <w:tcW w:w="2400" w:type="dxa"/>
            <w:tcBorders/>
            <w:vAlign w:val="center"/>
          </w:tcPr>
          <w:p>
            <w:pPr>
              <w:pStyle w:val="MDPI42tablebody"/>
              <w:jc w:val="center"/>
            </w:pPr>
            <w:r>
              <w:rPr>
                <w:sz w:val="16"/>
              </w:rPr>
              <w:t>0.95</w:t>
            </w:r>
          </w:p>
        </w:tc>
        <w:tc>
          <w:tcPr>
            <w:tcW w:w="2800" w:type="dxa"/>
            <w:tcBorders/>
            <w:vAlign w:val="center"/>
          </w:tcPr>
          <w:p>
            <w:pPr>
              <w:pStyle w:val="MDPI42tablebody"/>
              <w:jc w:val="center"/>
            </w:pPr>
            <w:r>
              <w:rPr>
                <w:sz w:val="16"/>
              </w:rPr>
              <w:t>5.6</w:t>
            </w:r>
          </w:p>
        </w:tc>
        <w:tc>
          <w:tcPr>
            <w:tcW w:w="2866" w:type="dxa"/>
            <w:tcBorders/>
            <w:vAlign w:val="center"/>
          </w:tcPr>
          <w:p>
            <w:pPr>
              <w:pStyle w:val="MDPI42tablebody"/>
              <w:jc w:val="center"/>
            </w:pPr>
            <w:r>
              <w:rPr>
                <w:sz w:val="16"/>
              </w:rPr>
              <w:t>0.96</w:t>
            </w:r>
          </w:p>
        </w:tc>
      </w:tr>
      <w:tr>
        <w:trPr>
          <w:cantSplit/>
        </w:trPr>
        <w:tc>
          <w:tcPr>
            <w:tcW w:w="2400" w:type="dxa"/>
            <w:tcBorders/>
            <w:vAlign w:val="center"/>
          </w:tcPr>
          <w:p>
            <w:pPr>
              <w:pStyle w:val="MDPI42tablebody"/>
              <w:jc w:val="left"/>
            </w:pPr>
            <w:r>
              <w:rPr>
                <w:sz w:val="16"/>
              </w:rPr>
              <w:t>36</w:t>
            </w:r>
          </w:p>
        </w:tc>
        <w:tc>
          <w:tcPr>
            <w:tcW w:w="2400" w:type="dxa"/>
            <w:tcBorders/>
            <w:vAlign w:val="center"/>
          </w:tcPr>
          <w:p>
            <w:pPr>
              <w:pStyle w:val="MDPI42tablebody"/>
              <w:jc w:val="center"/>
            </w:pPr>
            <w:r>
              <w:rPr>
                <w:sz w:val="16"/>
              </w:rPr>
              <w:t>0.95</w:t>
            </w:r>
          </w:p>
        </w:tc>
        <w:tc>
          <w:tcPr>
            <w:tcW w:w="2800" w:type="dxa"/>
            <w:tcBorders/>
            <w:vAlign w:val="center"/>
          </w:tcPr>
          <w:p>
            <w:pPr>
              <w:pStyle w:val="MDPI42tablebody"/>
              <w:jc w:val="center"/>
            </w:pPr>
            <w:r>
              <w:rPr>
                <w:sz w:val="16"/>
              </w:rPr>
              <w:t>1.8</w:t>
            </w:r>
          </w:p>
        </w:tc>
        <w:tc>
          <w:tcPr>
            <w:tcW w:w="2866" w:type="dxa"/>
            <w:tcBorders/>
            <w:vAlign w:val="center"/>
          </w:tcPr>
          <w:p>
            <w:pPr>
              <w:pStyle w:val="MDPI42tablebody"/>
              <w:jc w:val="center"/>
            </w:pPr>
            <w:r>
              <w:rPr>
                <w:sz w:val="16"/>
              </w:rPr>
              <w:t>0.99</w:t>
            </w:r>
          </w:p>
        </w:tc>
      </w:tr>
      <w:tr>
        <w:trPr>
          <w:cantSplit/>
        </w:trPr>
        <w:tc>
          <w:tcPr>
            <w:tcW w:w="2400" w:type="dxa"/>
            <w:tcBorders>
              <w:bottom w:val="single" w:sz="8" w:space="0" w:color="000000"/>
            </w:tcBorders>
            <w:vAlign w:val="center"/>
          </w:tcPr>
          <w:p>
            <w:pPr>
              <w:pStyle w:val="MDPI42tablebody"/>
              <w:jc w:val="left"/>
            </w:pPr>
            <w:r>
              <w:rPr>
                <w:sz w:val="16"/>
              </w:rPr>
              <w:t>240</w:t>
            </w:r>
          </w:p>
        </w:tc>
        <w:tc>
          <w:tcPr>
            <w:tcW w:w="2400" w:type="dxa"/>
            <w:tcBorders>
              <w:bottom w:val="single" w:sz="8" w:space="0" w:color="000000"/>
            </w:tcBorders>
            <w:vAlign w:val="center"/>
          </w:tcPr>
          <w:p>
            <w:pPr>
              <w:pStyle w:val="MDPI42tablebody"/>
              <w:jc w:val="center"/>
            </w:pPr>
            <w:r>
              <w:rPr>
                <w:sz w:val="16"/>
              </w:rPr>
              <w:t>0.91</w:t>
            </w:r>
          </w:p>
        </w:tc>
        <w:tc>
          <w:tcPr>
            <w:tcW w:w="2800" w:type="dxa"/>
            <w:tcBorders>
              <w:bottom w:val="single" w:sz="8" w:space="0" w:color="000000"/>
            </w:tcBorders>
            <w:vAlign w:val="center"/>
          </w:tcPr>
          <w:p>
            <w:pPr>
              <w:pStyle w:val="MDPI42tablebody"/>
              <w:jc w:val="center"/>
            </w:pPr>
            <w:r>
              <w:rPr>
                <w:sz w:val="16"/>
              </w:rPr>
              <w:t>1.2</w:t>
            </w:r>
          </w:p>
        </w:tc>
        <w:tc>
          <w:tcPr>
            <w:tcW w:w="2866" w:type="dxa"/>
            <w:tcBorders>
              <w:bottom w:val="single" w:sz="8" w:space="0" w:color="000000"/>
            </w:tcBorders>
            <w:vAlign w:val="center"/>
          </w:tcPr>
          <w:p>
            <w:pPr>
              <w:pStyle w:val="MDPI42tablebody"/>
              <w:jc w:val="center"/>
            </w:pPr>
            <w:r>
              <w:rPr>
                <w:sz w:val="16"/>
              </w:rPr>
              <w:t>0.99</w:t>
            </w:r>
          </w:p>
        </w:tc>
      </w:tr>
    </w:tbl>
    <w:p>
      <w:pPr>
        <w:pStyle w:val="MDPI41tablecaption"/>
      </w:pPr>
      <w:r>
        <w:rPr>
          <w:b/>
        </w:rPr>
        <w:t xml:space="preserve">Table E2. </w:t>
      </w:r>
      <w:r>
        <w:rPr/>
        <w:t xml:space="preserve"> Behaviour near saturation (36 choices, true τ = 1). A cell counts as identified under the fixed rule if the mean reference probability of the chosen items at the nominal temperature is at most 0.999, and under the interval rule if its interval is bounded and its upper bound is at most four times its lower bound.</w:t>
      </w:r>
    </w:p>
    <w:tbl>
      <w:tblPr>
        <w:tblW w:w="10466" w:type="dxa"/>
        <w:tblInd w:w="0" w:type="dxa"/>
        <w:tblLayout w:type="fixed"/>
      </w:tblPr>
      <w:tblGrid>
        <w:gridCol w:w="1500"/>
        <w:gridCol w:w="1900"/>
        <w:gridCol w:w="1300"/>
        <w:gridCol w:w="1700"/>
        <w:gridCol w:w="1900"/>
        <w:gridCol w:w="2166"/>
      </w:tblGrid>
      <w:tr>
        <w:trPr>
          <w:cantSplit/>
          <w:tblHeader/>
        </w:trPr>
        <w:tc>
          <w:tcPr>
            <w:tcW w:w="1500" w:type="dxa"/>
            <w:tcBorders>
              <w:top w:val="single" w:sz="8" w:space="0" w:color="000000"/>
              <w:bottom w:val="single" w:sz="4" w:space="0" w:color="000000"/>
            </w:tcBorders>
            <w:vAlign w:val="center"/>
          </w:tcPr>
          <w:p>
            <w:pPr>
              <w:pStyle w:val="MDPI42tablebody"/>
              <w:jc w:val="left"/>
            </w:pPr>
            <w:r>
              <w:rPr>
                <w:b/>
                <w:sz w:val="16"/>
              </w:rPr>
              <w:t>Gap on top candidate</w:t>
            </w:r>
          </w:p>
        </w:tc>
        <w:tc>
          <w:tcPr>
            <w:tcW w:w="1900" w:type="dxa"/>
            <w:tcBorders>
              <w:top w:val="single" w:sz="8" w:space="0" w:color="000000"/>
              <w:bottom w:val="single" w:sz="4" w:space="0" w:color="000000"/>
            </w:tcBorders>
            <w:vAlign w:val="center"/>
          </w:tcPr>
          <w:p>
            <w:pPr>
              <w:pStyle w:val="MDPI42tablebody"/>
              <w:jc w:val="center"/>
            </w:pPr>
            <w:r>
              <w:rPr>
                <w:b/>
                <w:sz w:val="16"/>
              </w:rPr>
              <w:t>Mean reference probability</w:t>
            </w:r>
          </w:p>
        </w:tc>
        <w:tc>
          <w:tcPr>
            <w:tcW w:w="1300" w:type="dxa"/>
            <w:tcBorders>
              <w:top w:val="single" w:sz="8" w:space="0" w:color="000000"/>
              <w:bottom w:val="single" w:sz="4" w:space="0" w:color="000000"/>
            </w:tcBorders>
            <w:vAlign w:val="center"/>
          </w:tcPr>
          <w:p>
            <w:pPr>
              <w:pStyle w:val="MDPI42tablebody"/>
              <w:jc w:val="center"/>
            </w:pPr>
            <w:r>
              <w:rPr>
                <w:b/>
                <w:sz w:val="16"/>
              </w:rPr>
              <w:t>Coverage</w:t>
            </w:r>
          </w:p>
        </w:tc>
        <w:tc>
          <w:tcPr>
            <w:tcW w:w="1700" w:type="dxa"/>
            <w:tcBorders>
              <w:top w:val="single" w:sz="8" w:space="0" w:color="000000"/>
              <w:bottom w:val="single" w:sz="4" w:space="0" w:color="000000"/>
            </w:tcBorders>
            <w:vAlign w:val="center"/>
          </w:tcPr>
          <w:p>
            <w:pPr>
              <w:pStyle w:val="MDPI42tablebody"/>
              <w:jc w:val="center"/>
            </w:pPr>
            <w:r>
              <w:rPr>
                <w:b/>
                <w:sz w:val="16"/>
              </w:rPr>
              <w:t>Median upper/lower</w:t>
            </w:r>
          </w:p>
        </w:tc>
        <w:tc>
          <w:tcPr>
            <w:tcW w:w="1900" w:type="dxa"/>
            <w:tcBorders>
              <w:top w:val="single" w:sz="8" w:space="0" w:color="000000"/>
              <w:bottom w:val="single" w:sz="4" w:space="0" w:color="000000"/>
            </w:tcBorders>
            <w:vAlign w:val="center"/>
          </w:tcPr>
          <w:p>
            <w:pPr>
              <w:pStyle w:val="MDPI42tablebody"/>
              <w:jc w:val="center"/>
            </w:pPr>
            <w:r>
              <w:rPr>
                <w:b/>
                <w:sz w:val="16"/>
              </w:rPr>
              <w:t>Identified, fixed rule</w:t>
            </w:r>
          </w:p>
        </w:tc>
        <w:tc>
          <w:tcPr>
            <w:tcW w:w="2166" w:type="dxa"/>
            <w:tcBorders>
              <w:top w:val="single" w:sz="8" w:space="0" w:color="000000"/>
              <w:bottom w:val="single" w:sz="4" w:space="0" w:color="000000"/>
            </w:tcBorders>
            <w:vAlign w:val="center"/>
          </w:tcPr>
          <w:p>
            <w:pPr>
              <w:pStyle w:val="MDPI42tablebody"/>
              <w:jc w:val="center"/>
            </w:pPr>
            <w:r>
              <w:rPr>
                <w:b/>
                <w:sz w:val="16"/>
              </w:rPr>
              <w:t>Identified, interval rule</w:t>
            </w:r>
          </w:p>
        </w:tc>
      </w:tr>
      <w:tr>
        <w:trPr>
          <w:cantSplit/>
        </w:trPr>
        <w:tc>
          <w:tcPr>
            <w:tcW w:w="1500" w:type="dxa"/>
            <w:tcBorders/>
            <w:vAlign w:val="center"/>
          </w:tcPr>
          <w:p>
            <w:pPr>
              <w:pStyle w:val="MDPI42tablebody"/>
              <w:jc w:val="left"/>
            </w:pPr>
            <w:r>
              <w:rPr>
                <w:sz w:val="16"/>
              </w:rPr>
              <w:t>0</w:t>
            </w:r>
          </w:p>
        </w:tc>
        <w:tc>
          <w:tcPr>
            <w:tcW w:w="1900" w:type="dxa"/>
            <w:tcBorders/>
            <w:vAlign w:val="center"/>
          </w:tcPr>
          <w:p>
            <w:pPr>
              <w:pStyle w:val="MDPI42tablebody"/>
              <w:jc w:val="center"/>
            </w:pPr>
            <w:r>
              <w:rPr>
                <w:sz w:val="16"/>
              </w:rPr>
              <w:t>0.1887</w:t>
            </w:r>
          </w:p>
        </w:tc>
        <w:tc>
          <w:tcPr>
            <w:tcW w:w="1300" w:type="dxa"/>
            <w:tcBorders/>
            <w:vAlign w:val="center"/>
          </w:tcPr>
          <w:p>
            <w:pPr>
              <w:pStyle w:val="MDPI42tablebody"/>
              <w:jc w:val="center"/>
            </w:pPr>
            <w:r>
              <w:rPr>
                <w:sz w:val="16"/>
              </w:rPr>
              <w:t>0.94</w:t>
            </w:r>
          </w:p>
        </w:tc>
        <w:tc>
          <w:tcPr>
            <w:tcW w:w="1700" w:type="dxa"/>
            <w:tcBorders/>
            <w:vAlign w:val="center"/>
          </w:tcPr>
          <w:p>
            <w:pPr>
              <w:pStyle w:val="MDPI42tablebody"/>
              <w:jc w:val="center"/>
            </w:pPr>
            <w:r>
              <w:rPr>
                <w:sz w:val="16"/>
              </w:rPr>
              <w:t>2.2</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0.98</w:t>
            </w:r>
          </w:p>
        </w:tc>
      </w:tr>
      <w:tr>
        <w:trPr>
          <w:cantSplit/>
        </w:trPr>
        <w:tc>
          <w:tcPr>
            <w:tcW w:w="1500" w:type="dxa"/>
            <w:tcBorders/>
            <w:vAlign w:val="center"/>
          </w:tcPr>
          <w:p>
            <w:pPr>
              <w:pStyle w:val="MDPI42tablebody"/>
              <w:jc w:val="left"/>
            </w:pPr>
            <w:r>
              <w:rPr>
                <w:sz w:val="16"/>
              </w:rPr>
              <w:t>2</w:t>
            </w:r>
          </w:p>
        </w:tc>
        <w:tc>
          <w:tcPr>
            <w:tcW w:w="1900" w:type="dxa"/>
            <w:tcBorders/>
            <w:vAlign w:val="center"/>
          </w:tcPr>
          <w:p>
            <w:pPr>
              <w:pStyle w:val="MDPI42tablebody"/>
              <w:jc w:val="center"/>
            </w:pPr>
            <w:r>
              <w:rPr>
                <w:sz w:val="16"/>
              </w:rPr>
              <w:t>0.2747</w:t>
            </w:r>
          </w:p>
        </w:tc>
        <w:tc>
          <w:tcPr>
            <w:tcW w:w="1300" w:type="dxa"/>
            <w:tcBorders/>
            <w:vAlign w:val="center"/>
          </w:tcPr>
          <w:p>
            <w:pPr>
              <w:pStyle w:val="MDPI42tablebody"/>
              <w:jc w:val="center"/>
            </w:pPr>
            <w:r>
              <w:rPr>
                <w:sz w:val="16"/>
              </w:rPr>
              <w:t>0.93</w:t>
            </w:r>
          </w:p>
        </w:tc>
        <w:tc>
          <w:tcPr>
            <w:tcW w:w="1700" w:type="dxa"/>
            <w:tcBorders/>
            <w:vAlign w:val="center"/>
          </w:tcPr>
          <w:p>
            <w:pPr>
              <w:pStyle w:val="MDPI42tablebody"/>
              <w:jc w:val="center"/>
            </w:pPr>
            <w:r>
              <w:rPr>
                <w:sz w:val="16"/>
              </w:rPr>
              <w:t>1.9</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1.00</w:t>
            </w:r>
          </w:p>
        </w:tc>
      </w:tr>
      <w:tr>
        <w:trPr>
          <w:cantSplit/>
        </w:trPr>
        <w:tc>
          <w:tcPr>
            <w:tcW w:w="1500" w:type="dxa"/>
            <w:tcBorders/>
            <w:vAlign w:val="center"/>
          </w:tcPr>
          <w:p>
            <w:pPr>
              <w:pStyle w:val="MDPI42tablebody"/>
              <w:jc w:val="left"/>
            </w:pPr>
            <w:r>
              <w:rPr>
                <w:sz w:val="16"/>
              </w:rPr>
              <w:t>4</w:t>
            </w:r>
          </w:p>
        </w:tc>
        <w:tc>
          <w:tcPr>
            <w:tcW w:w="1900" w:type="dxa"/>
            <w:tcBorders/>
            <w:vAlign w:val="center"/>
          </w:tcPr>
          <w:p>
            <w:pPr>
              <w:pStyle w:val="MDPI42tablebody"/>
              <w:jc w:val="center"/>
            </w:pPr>
            <w:r>
              <w:rPr>
                <w:sz w:val="16"/>
              </w:rPr>
              <w:t>0.6477</w:t>
            </w:r>
          </w:p>
        </w:tc>
        <w:tc>
          <w:tcPr>
            <w:tcW w:w="1300" w:type="dxa"/>
            <w:tcBorders/>
            <w:vAlign w:val="center"/>
          </w:tcPr>
          <w:p>
            <w:pPr>
              <w:pStyle w:val="MDPI42tablebody"/>
              <w:jc w:val="center"/>
            </w:pPr>
            <w:r>
              <w:rPr>
                <w:sz w:val="16"/>
              </w:rPr>
              <w:t>0.92</w:t>
            </w:r>
          </w:p>
        </w:tc>
        <w:tc>
          <w:tcPr>
            <w:tcW w:w="1700" w:type="dxa"/>
            <w:tcBorders/>
            <w:vAlign w:val="center"/>
          </w:tcPr>
          <w:p>
            <w:pPr>
              <w:pStyle w:val="MDPI42tablebody"/>
              <w:jc w:val="center"/>
            </w:pPr>
            <w:r>
              <w:rPr>
                <w:sz w:val="16"/>
              </w:rPr>
              <w:t>1.6</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1.00</w:t>
            </w:r>
          </w:p>
        </w:tc>
      </w:tr>
      <w:tr>
        <w:trPr>
          <w:cantSplit/>
        </w:trPr>
        <w:tc>
          <w:tcPr>
            <w:tcW w:w="1500" w:type="dxa"/>
            <w:tcBorders/>
            <w:vAlign w:val="center"/>
          </w:tcPr>
          <w:p>
            <w:pPr>
              <w:pStyle w:val="MDPI42tablebody"/>
              <w:jc w:val="left"/>
            </w:pPr>
            <w:r>
              <w:rPr>
                <w:sz w:val="16"/>
              </w:rPr>
              <w:t>6</w:t>
            </w:r>
          </w:p>
        </w:tc>
        <w:tc>
          <w:tcPr>
            <w:tcW w:w="1900" w:type="dxa"/>
            <w:tcBorders/>
            <w:vAlign w:val="center"/>
          </w:tcPr>
          <w:p>
            <w:pPr>
              <w:pStyle w:val="MDPI42tablebody"/>
              <w:jc w:val="center"/>
            </w:pPr>
            <w:r>
              <w:rPr>
                <w:sz w:val="16"/>
              </w:rPr>
              <w:t>0.9160</w:t>
            </w:r>
          </w:p>
        </w:tc>
        <w:tc>
          <w:tcPr>
            <w:tcW w:w="1300" w:type="dxa"/>
            <w:tcBorders/>
            <w:vAlign w:val="center"/>
          </w:tcPr>
          <w:p>
            <w:pPr>
              <w:pStyle w:val="MDPI42tablebody"/>
              <w:jc w:val="center"/>
            </w:pPr>
            <w:r>
              <w:rPr>
                <w:sz w:val="16"/>
              </w:rPr>
              <w:t>0.89</w:t>
            </w:r>
          </w:p>
        </w:tc>
        <w:tc>
          <w:tcPr>
            <w:tcW w:w="1700" w:type="dxa"/>
            <w:tcBorders/>
            <w:vAlign w:val="center"/>
          </w:tcPr>
          <w:p>
            <w:pPr>
              <w:pStyle w:val="MDPI42tablebody"/>
              <w:jc w:val="center"/>
            </w:pPr>
            <w:r>
              <w:rPr>
                <w:sz w:val="16"/>
              </w:rPr>
              <w:t>1.8</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0.91</w:t>
            </w:r>
          </w:p>
        </w:tc>
      </w:tr>
      <w:tr>
        <w:trPr>
          <w:cantSplit/>
        </w:trPr>
        <w:tc>
          <w:tcPr>
            <w:tcW w:w="1500" w:type="dxa"/>
            <w:tcBorders/>
            <w:vAlign w:val="center"/>
          </w:tcPr>
          <w:p>
            <w:pPr>
              <w:pStyle w:val="MDPI42tablebody"/>
              <w:jc w:val="left"/>
            </w:pPr>
            <w:r>
              <w:rPr>
                <w:sz w:val="16"/>
              </w:rPr>
              <w:t>8</w:t>
            </w:r>
          </w:p>
        </w:tc>
        <w:tc>
          <w:tcPr>
            <w:tcW w:w="1900" w:type="dxa"/>
            <w:tcBorders/>
            <w:vAlign w:val="center"/>
          </w:tcPr>
          <w:p>
            <w:pPr>
              <w:pStyle w:val="MDPI42tablebody"/>
              <w:jc w:val="center"/>
            </w:pPr>
            <w:r>
              <w:rPr>
                <w:sz w:val="16"/>
              </w:rPr>
              <w:t>0.9876</w:t>
            </w:r>
          </w:p>
        </w:tc>
        <w:tc>
          <w:tcPr>
            <w:tcW w:w="1300" w:type="dxa"/>
            <w:tcBorders/>
            <w:vAlign w:val="center"/>
          </w:tcPr>
          <w:p>
            <w:pPr>
              <w:pStyle w:val="MDPI42tablebody"/>
              <w:jc w:val="center"/>
            </w:pPr>
            <w:r>
              <w:rPr>
                <w:sz w:val="16"/>
              </w:rPr>
              <w:t>0.98</w:t>
            </w:r>
          </w:p>
        </w:tc>
        <w:tc>
          <w:tcPr>
            <w:tcW w:w="1700" w:type="dxa"/>
            <w:tcBorders/>
            <w:vAlign w:val="center"/>
          </w:tcPr>
          <w:p>
            <w:pPr>
              <w:pStyle w:val="MDPI42tablebody"/>
              <w:jc w:val="center"/>
            </w:pPr>
            <w:r>
              <w:rPr>
                <w:sz w:val="16"/>
              </w:rPr>
              <w:t>68.0</w:t>
            </w:r>
          </w:p>
        </w:tc>
        <w:tc>
          <w:tcPr>
            <w:tcW w:w="1900" w:type="dxa"/>
            <w:tcBorders/>
            <w:vAlign w:val="center"/>
          </w:tcPr>
          <w:p>
            <w:pPr>
              <w:pStyle w:val="MDPI42tablebody"/>
              <w:jc w:val="center"/>
            </w:pPr>
            <w:r>
              <w:rPr>
                <w:sz w:val="16"/>
              </w:rPr>
              <w:t>0.99</w:t>
            </w:r>
          </w:p>
        </w:tc>
        <w:tc>
          <w:tcPr>
            <w:tcW w:w="2166" w:type="dxa"/>
            <w:tcBorders/>
            <w:vAlign w:val="center"/>
          </w:tcPr>
          <w:p>
            <w:pPr>
              <w:pStyle w:val="MDPI42tablebody"/>
              <w:jc w:val="center"/>
            </w:pPr>
            <w:r>
              <w:rPr>
                <w:sz w:val="16"/>
              </w:rPr>
              <w:t>0.29</w:t>
            </w:r>
          </w:p>
        </w:tc>
      </w:tr>
      <w:tr>
        <w:trPr>
          <w:cantSplit/>
        </w:trPr>
        <w:tc>
          <w:tcPr>
            <w:tcW w:w="1500" w:type="dxa"/>
            <w:tcBorders/>
            <w:vAlign w:val="center"/>
          </w:tcPr>
          <w:p>
            <w:pPr>
              <w:pStyle w:val="MDPI42tablebody"/>
              <w:jc w:val="left"/>
            </w:pPr>
            <w:r>
              <w:rPr>
                <w:sz w:val="16"/>
              </w:rPr>
              <w:t>12</w:t>
            </w:r>
          </w:p>
        </w:tc>
        <w:tc>
          <w:tcPr>
            <w:tcW w:w="1900" w:type="dxa"/>
            <w:tcBorders/>
            <w:vAlign w:val="center"/>
          </w:tcPr>
          <w:p>
            <w:pPr>
              <w:pStyle w:val="MDPI42tablebody"/>
              <w:jc w:val="center"/>
            </w:pPr>
            <w:r>
              <w:rPr>
                <w:sz w:val="16"/>
              </w:rPr>
              <w:t>1.0000</w:t>
            </w:r>
          </w:p>
        </w:tc>
        <w:tc>
          <w:tcPr>
            <w:tcW w:w="1300" w:type="dxa"/>
            <w:tcBorders/>
            <w:vAlign w:val="center"/>
          </w:tcPr>
          <w:p>
            <w:pPr>
              <w:pStyle w:val="MDPI42tablebody"/>
              <w:jc w:val="center"/>
            </w:pPr>
            <w:r>
              <w:rPr>
                <w:sz w:val="16"/>
              </w:rPr>
              <w:t>1.00</w:t>
            </w:r>
          </w:p>
        </w:tc>
        <w:tc>
          <w:tcPr>
            <w:tcW w:w="1700" w:type="dxa"/>
            <w:tcBorders/>
            <w:vAlign w:val="center"/>
          </w:tcPr>
          <w:p>
            <w:pPr>
              <w:pStyle w:val="MDPI42tablebody"/>
              <w:jc w:val="center"/>
            </w:pPr>
            <w:r>
              <w:rPr>
                <w:sz w:val="16"/>
              </w:rPr>
              <w:t>108.0</w:t>
            </w:r>
          </w:p>
        </w:tc>
        <w:tc>
          <w:tcPr>
            <w:tcW w:w="1900" w:type="dxa"/>
            <w:tcBorders/>
            <w:vAlign w:val="center"/>
          </w:tcPr>
          <w:p>
            <w:pPr>
              <w:pStyle w:val="MDPI42tablebody"/>
              <w:jc w:val="center"/>
            </w:pPr>
            <w:r>
              <w:rPr>
                <w:sz w:val="16"/>
              </w:rPr>
              <w:t>0.00</w:t>
            </w:r>
          </w:p>
        </w:tc>
        <w:tc>
          <w:tcPr>
            <w:tcW w:w="2166" w:type="dxa"/>
            <w:tcBorders/>
            <w:vAlign w:val="center"/>
          </w:tcPr>
          <w:p>
            <w:pPr>
              <w:pStyle w:val="MDPI42tablebody"/>
              <w:jc w:val="center"/>
            </w:pPr>
            <w:r>
              <w:rPr>
                <w:sz w:val="16"/>
              </w:rPr>
              <w:t>0.00</w:t>
            </w:r>
          </w:p>
        </w:tc>
      </w:tr>
      <w:tr>
        <w:trPr>
          <w:cantSplit/>
        </w:trPr>
        <w:tc>
          <w:tcPr>
            <w:tcW w:w="1500" w:type="dxa"/>
            <w:tcBorders>
              <w:bottom w:val="single" w:sz="8" w:space="0" w:color="000000"/>
            </w:tcBorders>
            <w:vAlign w:val="center"/>
          </w:tcPr>
          <w:p>
            <w:pPr>
              <w:pStyle w:val="MDPI42tablebody"/>
              <w:jc w:val="left"/>
            </w:pPr>
            <w:r>
              <w:rPr>
                <w:sz w:val="16"/>
              </w:rPr>
              <w:t>16</w:t>
            </w:r>
          </w:p>
        </w:tc>
        <w:tc>
          <w:tcPr>
            <w:tcW w:w="1900" w:type="dxa"/>
            <w:tcBorders>
              <w:bottom w:val="single" w:sz="8" w:space="0" w:color="000000"/>
            </w:tcBorders>
            <w:vAlign w:val="center"/>
          </w:tcPr>
          <w:p>
            <w:pPr>
              <w:pStyle w:val="MDPI42tablebody"/>
              <w:jc w:val="center"/>
            </w:pPr>
            <w:r>
              <w:rPr>
                <w:sz w:val="16"/>
              </w:rPr>
              <w:t>1.0000</w:t>
            </w:r>
          </w:p>
        </w:tc>
        <w:tc>
          <w:tcPr>
            <w:tcW w:w="1300" w:type="dxa"/>
            <w:tcBorders>
              <w:bottom w:val="single" w:sz="8" w:space="0" w:color="000000"/>
            </w:tcBorders>
            <w:vAlign w:val="center"/>
          </w:tcPr>
          <w:p>
            <w:pPr>
              <w:pStyle w:val="MDPI42tablebody"/>
              <w:jc w:val="center"/>
            </w:pPr>
            <w:r>
              <w:rPr>
                <w:sz w:val="16"/>
              </w:rPr>
              <w:t>1.00</w:t>
            </w:r>
          </w:p>
        </w:tc>
        <w:tc>
          <w:tcPr>
            <w:tcW w:w="1700" w:type="dxa"/>
            <w:tcBorders>
              <w:bottom w:val="single" w:sz="8" w:space="0" w:color="000000"/>
            </w:tcBorders>
            <w:vAlign w:val="center"/>
          </w:tcPr>
          <w:p>
            <w:pPr>
              <w:pStyle w:val="MDPI42tablebody"/>
              <w:jc w:val="center"/>
            </w:pPr>
            <w:r>
              <w:rPr>
                <w:sz w:val="16"/>
              </w:rPr>
              <w:t>144.2</w:t>
            </w:r>
          </w:p>
        </w:tc>
        <w:tc>
          <w:tcPr>
            <w:tcW w:w="1900" w:type="dxa"/>
            <w:tcBorders>
              <w:bottom w:val="single" w:sz="8" w:space="0" w:color="000000"/>
            </w:tcBorders>
            <w:vAlign w:val="center"/>
          </w:tcPr>
          <w:p>
            <w:pPr>
              <w:pStyle w:val="MDPI42tablebody"/>
              <w:jc w:val="center"/>
            </w:pPr>
            <w:r>
              <w:rPr>
                <w:sz w:val="16"/>
              </w:rPr>
              <w:t>0.00</w:t>
            </w:r>
          </w:p>
        </w:tc>
        <w:tc>
          <w:tcPr>
            <w:tcW w:w="2166" w:type="dxa"/>
            <w:tcBorders>
              <w:bottom w:val="single" w:sz="8" w:space="0" w:color="000000"/>
            </w:tcBorders>
            <w:vAlign w:val="center"/>
          </w:tcPr>
          <w:p>
            <w:pPr>
              <w:pStyle w:val="MDPI42tablebody"/>
              <w:jc w:val="center"/>
            </w:pPr>
            <w:r>
              <w:rPr>
                <w:sz w:val="16"/>
              </w:rPr>
              <w:t>0.00</w:t>
            </w:r>
          </w:p>
        </w:tc>
      </w:tr>
    </w:tbl>
    <w:p>
      <w:pPr>
        <w:pStyle w:val="MDPI21heading1"/>
      </w:pPr>
      <w:r>
        <w:rPr/>
        <w:t>Appendix F. Reproducibility of the Revision Study</w:t>
      </w:r>
    </w:p>
    <w:p>
      <w:pPr>
        <w:pStyle w:val="MDPI31text"/>
      </w:pPr>
      <w:r>
        <w:rPr/>
        <w:t xml:space="preserve">All revision runs used the Transformers library in 32-bit floating point on a four-core CPU with 15 GB of memory and no GPU, with the default chat template of each model. Random streams are seeded from a hash of the model, task, attractor length, temperature and condition. The estimator uses the same 240-point grid as before (an 80-point subset for full-vocabulary scoring). Bootstrap intervals use 1000 resamples of trajectories for the indicator comparison and 300 for </w:t>
      </w:r>
      <w:r>
        <w:rPr>
          <w:i/>
        </w:rPr>
        <w:t>T</w:t>
      </w:r>
      <w:r>
        <w:rPr/>
        <w:t>eff</w:t>
      </w:r>
      <w:r>
        <w:rPr/>
        <w:t>. The code (teff_core.py, run_study.py, free_gen.py, se_nli.py, sim_identification.py, analyze.py and the driver scripts) and the per-trajectory results are in the repository folder teff/. The entailment model is microsoft/deberta-large-mnli.</w:t>
      </w:r>
    </w:p>
    <w:p>
      <w:pPr>
        <w:pStyle w:val="MDPI21heading1"/>
        <w:keepNext/>
      </w:pPr>
      <w:r>
        <w:rPr/>
        <w:t xml:space="preserve">References</w:t>
      </w:r>
    </w:p>
    <w:p>
      <w:pPr>
        <w:pStyle w:val="MDPI81references"/>
        <w:numPr>
          <w:ilvl w:val="0"/>
          <w:numId w:val="8"/>
        </w:numPr>
        <w:ind w:left="425" w:hanging="425"/>
      </w:pPr>
      <w:r>
        <w:rPr/>
        <w:t xml:space="preserve">Holtzman, A.; Buys, J.; Du, L.; Forbes, M.; Choi, Y. The Curious Case of Neural Text Degeneration. In Proceedings of the International Conference on Learning Representations (ICLR), </w:t>
      </w:r>
      <w:r>
        <w:rPr>
          <w:b/>
        </w:rPr>
        <w:t xml:space="preserve">2020</w:t>
      </w:r>
      <w:r>
        <w:rPr/>
        <w:t xml:space="preserve">.</w:t>
      </w:r>
    </w:p>
    <w:p>
      <w:pPr>
        <w:pStyle w:val="MDPI81references"/>
        <w:numPr>
          <w:ilvl w:val="0"/>
          <w:numId w:val="8"/>
        </w:numPr>
        <w:ind w:left="425" w:hanging="425"/>
      </w:pPr>
      <w:r>
        <w:rPr/>
        <w:t xml:space="preserve">Guo, C.; Pleiss, G.; Sun, Y.; Weinberger, K.Q. On Calibration of Modern Neural Networks. In Proceedings of the 34th International Conference on Machine Learning, Sydney, Australia, 6–11 August 2017; PMLR 70, pp. 1321–1330.</w:t>
      </w:r>
    </w:p>
    <w:p>
      <w:pPr>
        <w:pStyle w:val="MDPI81references"/>
        <w:numPr>
          <w:ilvl w:val="0"/>
          <w:numId w:val="8"/>
        </w:numPr>
        <w:ind w:left="425" w:hanging="425"/>
      </w:pPr>
      <w:r>
        <w:rPr/>
        <w:t xml:space="preserve">Kadavath, S.; Conerly, T.; Askell, A.; et al. Language Models (Mostly) Know What They Know. </w:t>
      </w:r>
      <w:r>
        <w:rPr>
          <w:i/>
        </w:rPr>
        <w:t xml:space="preserve">arXiv</w:t>
      </w:r>
      <w:r>
        <w:rPr/>
        <w:t xml:space="preserve"> </w:t>
      </w:r>
      <w:r>
        <w:rPr>
          <w:b/>
        </w:rPr>
        <w:t xml:space="preserve">2022</w:t>
      </w:r>
      <w:r>
        <w:rPr/>
        <w:t xml:space="preserve">, arXiv:2207.05221.</w:t>
      </w:r>
    </w:p>
    <w:p>
      <w:pPr>
        <w:pStyle w:val="MDPI81references"/>
        <w:numPr>
          <w:ilvl w:val="0"/>
          <w:numId w:val="8"/>
        </w:numPr>
        <w:ind w:left="425" w:hanging="425"/>
      </w:pPr>
      <w:r>
        <w:rPr/>
        <w:t xml:space="preserve">Kuhn, L.; Gal, Y.; Farquhar, S. Semantic Uncertainty: Linguistic Invariances for Uncertainty Estimation in Natural Language Generation. In Proceedings of the International Conference on Learning Representations (ICLR), </w:t>
      </w:r>
      <w:r>
        <w:rPr>
          <w:b/>
        </w:rPr>
        <w:t xml:space="preserve">2023</w:t>
      </w:r>
      <w:r>
        <w:rPr/>
        <w:t xml:space="preserve">.</w:t>
      </w:r>
    </w:p>
    <w:p>
      <w:pPr>
        <w:pStyle w:val="MDPI81references"/>
        <w:numPr>
          <w:ilvl w:val="0"/>
          <w:numId w:val="8"/>
        </w:numPr>
        <w:ind w:left="425" w:hanging="425"/>
      </w:pPr>
      <w:r>
        <w:rPr/>
        <w:t xml:space="preserve">Farquhar, S.; Kossen, J.; Kuhn, L.; Gal, Y. Detecting Hallucinations in Large Language Models Using Semantic Entropy. </w:t>
      </w:r>
      <w:r>
        <w:rPr>
          <w:i/>
        </w:rPr>
        <w:t xml:space="preserve">Nature</w:t>
      </w:r>
      <w:r>
        <w:rPr/>
        <w:t xml:space="preserve"> </w:t>
      </w:r>
      <w:r>
        <w:rPr>
          <w:b/>
        </w:rPr>
        <w:t xml:space="preserve">2024</w:t>
      </w:r>
      <w:r>
        <w:rPr/>
        <w:t xml:space="preserve">, </w:t>
      </w:r>
      <w:r>
        <w:rPr>
          <w:i/>
        </w:rPr>
        <w:t xml:space="preserve">630</w:t>
      </w:r>
      <w:r>
        <w:rPr/>
        <w:t xml:space="preserve">, 625–630.</w:t>
      </w:r>
    </w:p>
    <w:p>
      <w:pPr>
        <w:pStyle w:val="MDPI81references"/>
        <w:numPr>
          <w:ilvl w:val="0"/>
          <w:numId w:val="8"/>
        </w:numPr>
        <w:ind w:left="425" w:hanging="425"/>
      </w:pPr>
      <w:r>
        <w:rPr/>
        <w:t xml:space="preserve">Cemri, M.; Pan, M.Z.; Yang, S.; et al. Why Do Multi-Agent LLM Systems Fail? </w:t>
      </w:r>
      <w:r>
        <w:rPr>
          <w:i/>
        </w:rPr>
        <w:t xml:space="preserve">arXiv</w:t>
      </w:r>
      <w:r>
        <w:rPr/>
        <w:t xml:space="preserve"> </w:t>
      </w:r>
      <w:r>
        <w:rPr>
          <w:b/>
        </w:rPr>
        <w:t xml:space="preserve">2025</w:t>
      </w:r>
      <w:r>
        <w:rPr/>
        <w:t xml:space="preserve">, arXiv:2503.13657.</w:t>
      </w:r>
    </w:p>
    <w:p>
      <w:pPr>
        <w:pStyle w:val="MDPI81references"/>
        <w:numPr>
          <w:ilvl w:val="0"/>
          <w:numId w:val="8"/>
        </w:numPr>
        <w:ind w:left="425" w:hanging="425"/>
      </w:pPr>
      <w:r>
        <w:rPr/>
        <w:t xml:space="preserve">McFadden, D. Conditional Logit Analysis of Qualitative Choice Behavior. In </w:t>
      </w:r>
      <w:r>
        <w:rPr>
          <w:i/>
        </w:rPr>
        <w:t xml:space="preserve">Frontiers in Econometrics</w:t>
      </w:r>
      <w:r>
        <w:rPr/>
        <w:t xml:space="preserve">; Zarembka, P., Ed.; Academic Press: New York, NY, USA, 1974; pp. 105–142.</w:t>
      </w:r>
    </w:p>
    <w:p>
      <w:pPr>
        <w:pStyle w:val="MDPI81references"/>
        <w:numPr>
          <w:ilvl w:val="0"/>
          <w:numId w:val="8"/>
        </w:numPr>
        <w:ind w:left="425" w:hanging="425"/>
      </w:pPr>
      <w:r>
        <w:rPr/>
        <w:t xml:space="preserve">McKelvey, R.D.; Palfrey, T.R. Quantal Response Equilibria for Normal Form Games. </w:t>
      </w:r>
      <w:r>
        <w:rPr>
          <w:i/>
        </w:rPr>
        <w:t xml:space="preserve">Games Econ. Behav.</w:t>
      </w:r>
      <w:r>
        <w:rPr/>
        <w:t xml:space="preserve"> </w:t>
      </w:r>
      <w:r>
        <w:rPr>
          <w:b/>
        </w:rPr>
        <w:t xml:space="preserve">1995</w:t>
      </w:r>
      <w:r>
        <w:rPr/>
        <w:t xml:space="preserve">, </w:t>
      </w:r>
      <w:r>
        <w:rPr>
          <w:i/>
        </w:rPr>
        <w:t xml:space="preserve">10</w:t>
      </w:r>
      <w:r>
        <w:rPr/>
        <w:t xml:space="preserve">, 6–38.</w:t>
      </w:r>
    </w:p>
    <w:p>
      <w:pPr>
        <w:pStyle w:val="MDPI81references"/>
        <w:numPr>
          <w:ilvl w:val="0"/>
          <w:numId w:val="8"/>
        </w:numPr>
        <w:ind w:left="425" w:hanging="425"/>
      </w:pPr>
      <w:r>
        <w:rPr/>
        <w:t xml:space="preserve">Hinton, G.; Vinyals, O.; Dean, J. Distilling the Knowledge in a Neural Network. </w:t>
      </w:r>
      <w:r>
        <w:rPr>
          <w:i/>
        </w:rPr>
        <w:t xml:space="preserve">arXiv</w:t>
      </w:r>
      <w:r>
        <w:rPr/>
        <w:t xml:space="preserve"> </w:t>
      </w:r>
      <w:r>
        <w:rPr>
          <w:b/>
        </w:rPr>
        <w:t xml:space="preserve">2015</w:t>
      </w:r>
      <w:r>
        <w:rPr/>
        <w:t xml:space="preserve">, arXiv:1503.02531.</w:t>
      </w:r>
    </w:p>
    <w:p>
      <w:pPr>
        <w:pStyle w:val="MDPI81references"/>
        <w:numPr>
          <w:ilvl w:val="0"/>
          <w:numId w:val="8"/>
        </w:numPr>
        <w:ind w:left="425" w:hanging="425"/>
      </w:pPr>
      <w:r>
        <w:rPr/>
        <w:t xml:space="preserve">Parasuraman, R.; Riley, V. Humans and Automation: Use, Misuse, Disuse, Abuse. </w:t>
      </w:r>
      <w:r>
        <w:rPr>
          <w:i/>
        </w:rPr>
        <w:t xml:space="preserve">Hum. Factors</w:t>
      </w:r>
      <w:r>
        <w:rPr/>
        <w:t xml:space="preserve"> </w:t>
      </w:r>
      <w:r>
        <w:rPr>
          <w:b/>
        </w:rPr>
        <w:t xml:space="preserve">1997</w:t>
      </w:r>
      <w:r>
        <w:rPr/>
        <w:t xml:space="preserve">, </w:t>
      </w:r>
      <w:r>
        <w:rPr>
          <w:i/>
        </w:rPr>
        <w:t xml:space="preserve">39</w:t>
      </w:r>
      <w:r>
        <w:rPr/>
        <w:t xml:space="preserve">, 230–253.</w:t>
      </w:r>
    </w:p>
    <w:p>
      <w:pPr>
        <w:pStyle w:val="MDPI81references"/>
        <w:numPr>
          <w:ilvl w:val="0"/>
          <w:numId w:val="8"/>
        </w:numPr>
        <w:ind w:left="425" w:hanging="425"/>
      </w:pPr>
      <w:r>
        <w:rPr/>
        <w:t xml:space="preserve">Simon, H.A. A Behavioral Model of Rational Choice. </w:t>
      </w:r>
      <w:r>
        <w:rPr>
          <w:i/>
        </w:rPr>
        <w:t xml:space="preserve">Q. J. Econ.</w:t>
      </w:r>
      <w:r>
        <w:rPr/>
        <w:t xml:space="preserve"> </w:t>
      </w:r>
      <w:r>
        <w:rPr>
          <w:b/>
        </w:rPr>
        <w:t xml:space="preserve">1955</w:t>
      </w:r>
      <w:r>
        <w:rPr/>
        <w:t xml:space="preserve">, </w:t>
      </w:r>
      <w:r>
        <w:rPr>
          <w:i/>
        </w:rPr>
        <w:t xml:space="preserve">69</w:t>
      </w:r>
      <w:r>
        <w:rPr/>
        <w:t xml:space="preserve">, 99–118.</w:t>
      </w:r>
    </w:p>
    <w:p>
      <w:pPr>
        <w:pStyle w:val="MDPI81references"/>
        <w:numPr>
          <w:ilvl w:val="0"/>
          <w:numId w:val="8"/>
        </w:numPr>
        <w:ind w:left="425" w:hanging="425"/>
      </w:pPr>
      <w:r>
        <w:rPr/>
        <w:t xml:space="preserve">Rafailov, R.; Sharma, A.; Mitchell, E.; Ermon, S.; Manning, C.D.; Finn, C. Direct Preference Optimization: Your Language Model Is Secretly a Reward Model. In </w:t>
      </w:r>
      <w:r>
        <w:rPr>
          <w:i/>
        </w:rPr>
        <w:t xml:space="preserve">Advances in Neural Information Processing Systems 36 (NeurIPS 2023)</w:t>
      </w:r>
      <w:r>
        <w:rPr/>
        <w:t xml:space="preserve">; Curran Associates: Red Hook, NY, USA, 2023.</w:t>
      </w:r>
    </w:p>
    <w:p>
      <w:pPr>
        <w:pStyle w:val="MDPI81references"/>
        <w:numPr>
          <w:ilvl w:val="0"/>
          <w:numId w:val="8"/>
        </w:numPr>
        <w:ind w:left="425" w:hanging="425"/>
      </w:pPr>
      <w:r>
        <w:rPr/>
        <w:t xml:space="preserve">Shanahan, M.; McDonell, K.; Reynolds, L. Role Play with Large Language Models. </w:t>
      </w:r>
      <w:r>
        <w:rPr>
          <w:i/>
        </w:rPr>
        <w:t xml:space="preserve">Nature</w:t>
      </w:r>
      <w:r>
        <w:rPr/>
        <w:t xml:space="preserve"> </w:t>
      </w:r>
      <w:r>
        <w:rPr>
          <w:b/>
        </w:rPr>
        <w:t xml:space="preserve">2023</w:t>
      </w:r>
      <w:r>
        <w:rPr/>
        <w:t xml:space="preserve">, </w:t>
      </w:r>
      <w:r>
        <w:rPr>
          <w:i/>
        </w:rPr>
        <w:t xml:space="preserve">623</w:t>
      </w:r>
      <w:r>
        <w:rPr/>
        <w:t xml:space="preserve">, 493–498.</w:t>
      </w:r>
    </w:p>
    <w:p>
      <w:pPr>
        <w:pStyle w:val="MDPI81references"/>
        <w:numPr>
          <w:ilvl w:val="0"/>
          <w:numId w:val="8"/>
        </w:numPr>
        <w:ind w:left="425" w:hanging="425"/>
      </w:pPr>
      <w:r>
        <w:rPr/>
        <w:t xml:space="preserve">Yang, A.; Yang, B.; Zhang, B.; et al. Qwen2.5 Technical Report. </w:t>
      </w:r>
      <w:r>
        <w:rPr>
          <w:i/>
        </w:rPr>
        <w:t xml:space="preserve">arXiv</w:t>
      </w:r>
      <w:r>
        <w:rPr/>
        <w:t xml:space="preserve"> </w:t>
      </w:r>
      <w:r>
        <w:rPr>
          <w:b/>
        </w:rPr>
        <w:t xml:space="preserve">2024</w:t>
      </w:r>
      <w:r>
        <w:rPr/>
        <w:t xml:space="preserve">, arXiv:2412.15115.</w:t>
      </w:r>
    </w:p>
    <w:p>
      <w:pPr>
        <w:pStyle w:val="MDPI81references"/>
        <w:numPr>
          <w:ilvl w:val="0"/>
          <w:numId w:val="8"/>
        </w:numPr>
        <w:ind w:left="425" w:hanging="425"/>
      </w:pPr>
      <w:r>
        <w:rPr/>
        <w:t xml:space="preserve">Allal, L.B.; Lozhkov, A.; Bakouch, E.; et al. SmolLM2: When Smol Goes Big—Data-Centric Training of a Small Language Model. </w:t>
      </w:r>
      <w:r>
        <w:rPr>
          <w:i/>
        </w:rPr>
        <w:t xml:space="preserve">arXiv</w:t>
      </w:r>
      <w:r>
        <w:rPr/>
        <w:t xml:space="preserve"> </w:t>
      </w:r>
      <w:r>
        <w:rPr>
          <w:b/>
        </w:rPr>
        <w:t xml:space="preserve">2025</w:t>
      </w:r>
      <w:r>
        <w:rPr/>
        <w:t xml:space="preserve">, arXiv:2502.02737.</w:t>
      </w:r>
    </w:p>
    <w:p>
      <w:pPr>
        <w:pStyle w:val="MDPI81references"/>
        <w:numPr>
          <w:ilvl w:val="0"/>
          <w:numId w:val="8"/>
        </w:numPr>
        <w:ind w:left="425" w:hanging="425"/>
      </w:pPr>
      <w:r>
        <w:rPr/>
        <w:t xml:space="preserve">Grattafiori, A.; Dubey, A.; Jauhri, A.; et al. The Llama 3 Herd of Models. </w:t>
      </w:r>
      <w:r>
        <w:rPr>
          <w:i/>
        </w:rPr>
        <w:t xml:space="preserve">arXiv</w:t>
      </w:r>
      <w:r>
        <w:rPr/>
        <w:t xml:space="preserve"> </w:t>
      </w:r>
      <w:r>
        <w:rPr>
          <w:b/>
        </w:rPr>
        <w:t xml:space="preserve">2024</w:t>
      </w:r>
      <w:r>
        <w:rPr/>
        <w:t xml:space="preserve">, arXiv:2407.21783.</w:t>
      </w:r>
    </w:p>
    <w:p>
      <w:pPr>
        <w:pStyle w:val="MDPI81references"/>
        <w:numPr>
          <w:ilvl w:val="0"/>
          <w:numId w:val="8"/>
        </w:numPr>
        <w:ind w:left="425" w:hanging="425"/>
      </w:pPr>
      <w:r>
        <w:rPr/>
        <w:t xml:space="preserve">Wolf, T.; Debut, L.; Sanh, V.; et al. Transformers: State-of-the-Art Natural Language Processing. In Proceedings of the 2020 Conference on Empirical Methods in Natural Language Processing: System Demonstrations, Online, 16–20 November 2020; pp. 38–45.</w:t>
      </w:r>
    </w:p>
    <w:p>
      <w:pPr>
        <w:pStyle w:val="MDPI81references"/>
        <w:numPr>
          <w:ilvl w:val="0"/>
          <w:numId w:val="8"/>
        </w:numPr>
        <w:ind w:left="425" w:hanging="425"/>
      </w:pPr>
      <w:r>
        <w:rPr/>
        <w:t xml:space="preserve">Gerganov, G. llama.cpp: LLM Inference in C/C++. Computer Software, 2023. Available online: https://github.com/ggml-org/llama.cpp.</w:t>
      </w:r>
    </w:p>
    <w:p>
      <w:pPr>
        <w:pStyle w:val="MDPI81references"/>
        <w:numPr>
          <w:ilvl w:val="0"/>
          <w:numId w:val="8"/>
        </w:numPr>
        <w:ind w:left="425" w:hanging="425"/>
      </w:pPr>
      <w:r>
        <w:rPr/>
        <w:t xml:space="preserve">White, H. Maximum Likelihood Estimation of Misspecified Models. </w:t>
      </w:r>
      <w:r>
        <w:rPr>
          <w:i/>
        </w:rPr>
        <w:t>Econometrica</w:t>
      </w:r>
      <w:r>
        <w:rPr/>
        <w:t xml:space="preserve"> </w:t>
      </w:r>
      <w:r>
        <w:rPr>
          <w:b/>
        </w:rPr>
        <w:t>1982</w:t>
      </w:r>
      <w:r>
        <w:rPr/>
        <w:t xml:space="preserve">, </w:t>
      </w:r>
      <w:r>
        <w:rPr>
          <w:i/>
        </w:rPr>
        <w:t>50</w:t>
      </w:r>
      <w:r>
        <w:rPr/>
        <w:t>, 1–25.</w:t>
      </w:r>
    </w:p>
    <w:p>
      <w:pPr>
        <w:pStyle w:val="MDPI81references"/>
        <w:numPr>
          <w:ilvl w:val="0"/>
          <w:numId w:val="8"/>
        </w:numPr>
        <w:ind w:left="425" w:hanging="425"/>
      </w:pPr>
      <w:r>
        <w:rPr/>
        <w:t xml:space="preserve">He, P.; Liu, X.; Gao, J.; Chen, W. DeBERTa: Decoding-Enhanced BERT with Disentangled Attention. In Proceedings of the International Conference on Learning Representations (ICLR), </w:t>
      </w:r>
      <w:r>
        <w:rPr>
          <w:b/>
        </w:rPr>
        <w:t>2021</w:t>
      </w:r>
      <w:r>
        <w:rPr/>
        <w:t>.</w:t>
      </w:r>
    </w:p>
    <w:p>
      <w:pPr>
        <w:pStyle w:val="MDPI81references"/>
        <w:numPr>
          <w:ilvl w:val="0"/>
          <w:numId w:val="8"/>
        </w:numPr>
        <w:ind w:left="425" w:hanging="425"/>
      </w:pPr>
      <w:r>
        <w:rPr/>
        <w:t>Williams, A.; Nangia, N.; Bowman, S. A Broad-Coverage Challenge Corpus for Sentence Understanding through Inference. In Proceedings of NAACL-HLT 2018, New Orleans, LA, USA, 1–6 June 2018; pp. 1112–1122.</w:t>
      </w:r>
    </w:p>
    <w:p>
      <w:pPr>
        <w:pStyle w:val="MDPI81references"/>
        <w:numPr>
          <w:ilvl w:val="0"/>
          <w:numId w:val="8"/>
        </w:numPr>
        <w:ind w:left="425" w:hanging="425"/>
      </w:pPr>
      <w:r>
        <w:rPr/>
        <w:t xml:space="preserve">Zhang, M.; Li, C.; Wan, M.; et al. ROUGE-SEM: Better Evaluation of Summarization Using ROUGE Combined with Semantics. </w:t>
      </w:r>
      <w:r>
        <w:rPr>
          <w:i/>
        </w:rPr>
        <w:t>Expert Syst. Appl.</w:t>
      </w:r>
      <w:r>
        <w:rPr/>
        <w:t xml:space="preserve"> </w:t>
      </w:r>
      <w:r>
        <w:rPr>
          <w:b/>
        </w:rPr>
        <w:t>2023</w:t>
      </w:r>
      <w:r>
        <w:rPr/>
        <w:t>, 121364.</w:t>
      </w:r>
    </w:p>
    <w:p>
      <w:pPr>
        <w:pStyle w:val="MDPI81references"/>
        <w:numPr>
          <w:ilvl w:val="0"/>
          <w:numId w:val="8"/>
        </w:numPr>
        <w:ind w:left="425" w:hanging="425"/>
      </w:pPr>
      <w:r>
        <w:rPr/>
        <w:t xml:space="preserve">Li, C.; Zhang, M.; Zhang, X.; Yan, Y. MCRSpell: A Metric Learning of Correct Representation for Chinese Spelling Correction. </w:t>
      </w:r>
      <w:r>
        <w:rPr>
          <w:i/>
        </w:rPr>
        <w:t>Expert Syst. Appl.</w:t>
      </w:r>
      <w:r>
        <w:rPr/>
        <w:t xml:space="preserve"> </w:t>
      </w:r>
      <w:r>
        <w:rPr>
          <w:b/>
        </w:rPr>
        <w:t>2024</w:t>
      </w:r>
      <w:r>
        <w:rPr/>
        <w:t xml:space="preserve">, </w:t>
      </w:r>
      <w:r>
        <w:rPr>
          <w:i/>
        </w:rPr>
        <w:t>237</w:t>
      </w:r>
      <w:r>
        <w:rPr/>
        <w:t>, 121513.</w:t>
      </w:r>
    </w:p>
    <w:p>
      <w:pPr>
        <w:pStyle w:val="MDPI81references"/>
        <w:numPr>
          <w:ilvl w:val="0"/>
          <w:numId w:val="8"/>
        </w:numPr>
        <w:ind w:left="425" w:hanging="425"/>
      </w:pPr>
      <w:r>
        <w:rPr/>
        <w:t xml:space="preserve">Gneiting, T.; Raftery, A.E. Strictly Proper Scoring Rules, Prediction, and Estimation. </w:t>
      </w:r>
      <w:r>
        <w:rPr>
          <w:i/>
        </w:rPr>
        <w:t>J. Am. Stat. Assoc.</w:t>
      </w:r>
      <w:r>
        <w:rPr/>
        <w:t xml:space="preserve"> </w:t>
      </w:r>
      <w:r>
        <w:rPr>
          <w:b/>
        </w:rPr>
        <w:t>2007</w:t>
      </w:r>
      <w:r>
        <w:rPr/>
        <w:t xml:space="preserve">, </w:t>
      </w:r>
      <w:r>
        <w:rPr>
          <w:i/>
        </w:rPr>
        <w:t>102</w:t>
      </w:r>
      <w:r>
        <w:rPr/>
        <w:t>, 359–378.</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20" w:top="1417" w:footer="612" w:bottom="907"/>
      <w:lnNumType w:countBy="1" w:restart="continuous" w:distance="255"/>
      <w:pgNumType w:start="1" w:fmt="decimal"/>
      <w:formProt w:val="false"/>
      <w:titlePg/>
      <w:textDirection w:val="lrTb"/>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Entropy</w:t>
    </w:r>
    <w:r>
      <w:rPr>
        <w:iCs/>
        <w:sz w:val="16"/>
        <w:szCs w:val="16"/>
      </w:rPr>
      <w:t xml:space="preserve"> </w:t>
    </w:r>
    <w:r>
      <w:rPr>
        <w:b/>
        <w:bCs/>
        <w:iCs/>
        <w:sz w:val="16"/>
        <w:szCs w:val="16"/>
      </w:rPr>
      <w:t>2026</w:t>
    </w:r>
    <w:r>
      <w:rPr>
        <w:bCs/>
        <w:iCs/>
        <w:sz w:val="16"/>
        <w:szCs w:val="16"/>
      </w:rPr>
      <w:t>,</w:t>
    </w:r>
    <w:r>
      <w:rPr>
        <w:bCs/>
        <w:i/>
        <w:iCs/>
        <w:sz w:val="16"/>
        <w:szCs w:val="16"/>
      </w:rPr>
      <w:t xml:space="preserve"> 28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Entropy </w:t>
    </w:r>
    <w:r>
      <w:rPr>
        <w:b/>
        <w:sz w:val="16"/>
      </w:rPr>
      <w:t>2026</w:t>
    </w:r>
    <w:r>
      <w:rPr>
        <w:sz w:val="16"/>
      </w:rPr>
      <w:t>,</w:t>
    </w:r>
    <w:r>
      <w:rPr>
        <w:i/>
        <w:sz w:val="16"/>
      </w:rPr>
      <w:t xml:space="preserve"> 28</w:t>
    </w:r>
    <w:r>
      <w:rPr>
        <w:sz w:val="16"/>
      </w:rPr>
      <w:t>, x FOR PEER REVIEW</w:t>
      <w:tab/>
    </w:r>
    <w:r>
      <w:rPr>
        <w:sz w:val="16"/>
      </w:rPr>
      <w:fldChar w:fldCharType="begin"/>
    </w:r>
    <w:r>
      <w:rPr>
        <w:sz w:val="16"/>
      </w:rPr>
      <w:instrText xml:space="preserve"> PAGE </w:instrText>
    </w:r>
    <w:r>
      <w:rPr>
        <w:sz w:val="16"/>
      </w:rPr>
      <w:fldChar w:fldCharType="separate"/>
    </w:r>
    <w:r>
      <w:rPr>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11</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等线"/>
              <w:b/>
              <w:bCs/>
            </w:rPr>
          </w:pPr>
          <w:r>
            <w:rPr/>
            <w:drawing>
              <wp:inline distT="0" distB="0" distL="0" distR="0">
                <wp:extent cx="1219835" cy="4318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1"/>
                        <a:stretch>
                          <a:fillRect/>
                        </a:stretch>
                      </pic:blipFill>
                      <pic:spPr bwMode="auto">
                        <a:xfrm>
                          <a:off x="0" y="0"/>
                          <a:ext cx="1219835" cy="431800"/>
                        </a:xfrm>
                        <a:prstGeom prst="rect">
                          <a:avLst/>
                        </a:prstGeom>
                      </pic:spPr>
                    </pic:pic>
                  </a:graphicData>
                </a:graphic>
              </wp:inline>
            </w:drawing>
          </w:r>
        </w:p>
      </w:tc>
      <w:tc>
        <w:tcPr>
          <w:tcW w:w="4536" w:type="dxa"/>
          <w:tcBorders/>
          <w:vAlign w:val="center"/>
        </w:tcPr>
        <w:p>
          <w:pPr>
            <w:pStyle w:val="Header"/>
            <w:pBdr>
              <w:bottom w:val="nil"/>
            </w:pBdr>
            <w:rPr>
              <w:rFonts w:eastAsia="等线"/>
              <w:b/>
              <w:bCs/>
            </w:rPr>
          </w:pPr>
          <w:r>
            <w:rPr>
              <w:rFonts w:eastAsia="等线"/>
              <w:b/>
              <w:bCs/>
            </w:rPr>
          </w:r>
        </w:p>
      </w:tc>
      <w:tc>
        <w:tcPr>
          <w:tcW w:w="2273" w:type="dxa"/>
          <w:tcBorders/>
          <w:vAlign w:val="center"/>
        </w:tcPr>
        <w:p>
          <w:pPr>
            <w:pStyle w:val="Header"/>
            <w:pBdr>
              <w:bottom w:val="nil"/>
            </w:pBdr>
            <w:jc w:val="end"/>
            <w:rPr>
              <w:rFonts w:eastAsia="等线"/>
              <w:b/>
              <w:bCs/>
            </w:rPr>
          </w:pPr>
          <w:r>
            <w:rPr/>
            <w:drawing>
              <wp:inline distT="0" distB="0" distL="0" distR="0">
                <wp:extent cx="539750" cy="36004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vertAlign w:val="baseline"/>
        <w:position w:val="0"/>
        <w:sz w:val="20"/>
        <w:sz w:val="20"/>
        <w:i w:val="false"/>
        <w:b w:val="fals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num>
  <w:num w:numId="10">
    <w:abstractNumId w:val="2"/>
  </w:num>
  <w:num w:numId="11">
    <w:abstractNumId w:val="2"/>
  </w:num>
  <w:num w:numId="12">
    <w:abstractNumId w:val="2"/>
  </w:num>
  <w:num w:numId="13">
    <w:abstractNumId w:val="2"/>
  </w:num>
</w:numbering>
</file>

<file path=word/settings.xml><?xml version="1.0" encoding="utf-8"?>
<w:settings xmlns:w="http://schemas.openxmlformats.org/wordprocessingml/2006/main">
  <w:zoom w:percent="157"/>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34e7"/>
    <w:pPr>
      <w:widowControl/>
      <w:suppressAutoHyphens w:val="false"/>
      <w:bidi w:val="0"/>
      <w:spacing w:lineRule="atLeast" w:line="280" w:before="0" w:after="0"/>
      <w:jc w:val="both"/>
    </w:pPr>
    <w:rPr>
      <w:rFonts w:ascii="Palatino Linotype" w:hAnsi="Palatino Linotype" w:eastAsia="宋体"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8234e7"/>
    <w:rPr>
      <w:rFonts w:ascii="Palatino Linotype" w:hAnsi="Palatino Linotype"/>
      <w:color w:val="000000"/>
      <w:szCs w:val="18"/>
    </w:rPr>
  </w:style>
  <w:style w:type="character" w:styleId="HeaderChar" w:customStyle="1">
    <w:name w:val="Header Char"/>
    <w:link w:val="Header"/>
    <w:uiPriority w:val="99"/>
    <w:qFormat/>
    <w:rsid w:val="008234e7"/>
    <w:rPr>
      <w:rFonts w:ascii="Palatino Linotype" w:hAnsi="Palatino Linotype"/>
      <w:color w:val="000000"/>
      <w:szCs w:val="18"/>
    </w:rPr>
  </w:style>
  <w:style w:type="character" w:styleId="BalloonTextChar" w:customStyle="1">
    <w:name w:val="Balloon Text Char"/>
    <w:link w:val="BalloonText"/>
    <w:uiPriority w:val="99"/>
    <w:qFormat/>
    <w:rsid w:val="008234e7"/>
    <w:rPr>
      <w:rFonts w:ascii="Palatino Linotype" w:hAnsi="Palatino Linotype" w:cs="Tahoma"/>
      <w:color w:val="000000"/>
      <w:szCs w:val="18"/>
    </w:rPr>
  </w:style>
  <w:style w:type="character" w:styleId="LineNumber">
    <w:name w:val="Line Number"/>
    <w:uiPriority w:val="99"/>
    <w:rsid w:val="00493c42"/>
    <w:rPr>
      <w:rFonts w:ascii="Palatino Linotype" w:hAnsi="Palatino Linotype"/>
      <w:sz w:val="16"/>
    </w:rPr>
  </w:style>
  <w:style w:type="character" w:styleId="Hyperlink">
    <w:name w:val="Hyperlink"/>
    <w:uiPriority w:val="99"/>
    <w:rsid w:val="008234e7"/>
    <w:rPr>
      <w:color w:val="0000FF"/>
      <w:u w:val="single"/>
    </w:rPr>
  </w:style>
  <w:style w:type="character" w:styleId="UnresolvedMention">
    <w:name w:val="Unresolved Mention"/>
    <w:uiPriority w:val="99"/>
    <w:semiHidden/>
    <w:unhideWhenUsed/>
    <w:qFormat/>
    <w:rsid w:val="002b4ff1"/>
    <w:rPr>
      <w:color w:val="605E5C"/>
      <w:shd w:fill="E1DFDD" w:val="clear"/>
    </w:rPr>
  </w:style>
  <w:style w:type="character" w:styleId="apple-converted-space" w:customStyle="1">
    <w:name w:val="apple-converted-space"/>
    <w:qFormat/>
    <w:rsid w:val="008234e7"/>
    <w:rPr/>
  </w:style>
  <w:style w:type="character" w:styleId="BodyTextChar" w:customStyle="1">
    <w:name w:val="Body Text Char"/>
    <w:qFormat/>
    <w:rsid w:val="008234e7"/>
    <w:rPr>
      <w:rFonts w:ascii="Palatino Linotype" w:hAnsi="Palatino Linotype"/>
      <w:color w:val="000000"/>
      <w:sz w:val="24"/>
      <w:lang w:eastAsia="de-DE"/>
    </w:rPr>
  </w:style>
  <w:style w:type="character" w:styleId="annotationreference">
    <w:name w:val="annotation reference"/>
    <w:qFormat/>
    <w:rsid w:val="008234e7"/>
    <w:rPr>
      <w:sz w:val="21"/>
      <w:szCs w:val="21"/>
    </w:rPr>
  </w:style>
  <w:style w:type="character" w:styleId="CommentTextChar" w:customStyle="1">
    <w:name w:val="Comment Text Char"/>
    <w:link w:val="AnnotationText"/>
    <w:qFormat/>
    <w:rsid w:val="008234e7"/>
    <w:rPr>
      <w:rFonts w:ascii="Palatino Linotype" w:hAnsi="Palatino Linotype"/>
      <w:color w:val="000000"/>
    </w:rPr>
  </w:style>
  <w:style w:type="character" w:styleId="CommentSubjectChar" w:customStyle="1">
    <w:name w:val="Comment Subject Char"/>
    <w:link w:val="annotationsubject"/>
    <w:qFormat/>
    <w:rsid w:val="008234e7"/>
    <w:rPr>
      <w:rFonts w:ascii="Palatino Linotype" w:hAnsi="Palatino Linotype"/>
      <w:b/>
      <w:bCs/>
      <w:color w:val="000000"/>
    </w:rPr>
  </w:style>
  <w:style w:type="character" w:styleId="EndnoteCharacters">
    <w:name w:val="Endnote Characters"/>
    <w:qFormat/>
    <w:rsid w:val="008234e7"/>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8234e7"/>
    <w:rPr>
      <w:rFonts w:ascii="Palatino Linotype" w:hAnsi="Palatino Linotype"/>
      <w:color w:val="000000"/>
    </w:rPr>
  </w:style>
  <w:style w:type="character" w:styleId="FollowedHyperlink">
    <w:name w:val="FollowedHyperlink"/>
    <w:rsid w:val="008234e7"/>
    <w:rPr>
      <w:color w:val="954F72"/>
      <w:u w:val="single"/>
    </w:rPr>
  </w:style>
  <w:style w:type="character" w:styleId="FootnoteTextChar" w:customStyle="1">
    <w:name w:val="Footnote Text Char"/>
    <w:link w:val="FootnoteText"/>
    <w:semiHidden/>
    <w:qFormat/>
    <w:rsid w:val="008234e7"/>
    <w:rPr>
      <w:rFonts w:ascii="Palatino Linotype" w:hAnsi="Palatino Linotype"/>
      <w:color w:val="000000"/>
    </w:rPr>
  </w:style>
  <w:style w:type="character" w:styleId="PageNumber">
    <w:name w:val="Page Number"/>
    <w:rsid w:val="008234e7"/>
    <w:rPr/>
  </w:style>
  <w:style w:type="character" w:styleId="PlaceholderText">
    <w:name w:val="Placeholder Text"/>
    <w:uiPriority w:val="99"/>
    <w:semiHidden/>
    <w:qFormat/>
    <w:rsid w:val="008234e7"/>
    <w:rPr>
      <w:color w:val="808080"/>
    </w:rPr>
  </w:style>
  <w:style w:type="character" w:styleId="Strong">
    <w:name w:val="Strong"/>
    <w:basedOn w:val="DefaultParagraphFont"/>
    <w:uiPriority w:val="22"/>
    <w:qFormat/>
    <w:rsid w:val="00a734e2"/>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link w:val="BodyTextChar"/>
    <w:rsid w:val="008234e7"/>
    <w:pPr>
      <w:widowControl/>
      <w:bidi w:val="0"/>
      <w:spacing w:lineRule="atLeast" w:line="340" w:before="0" w:after="120"/>
      <w:jc w:val="both"/>
    </w:pPr>
    <w:rPr>
      <w:rFonts w:ascii="Palatino Linotype" w:hAnsi="Palatino Linotype" w:eastAsia="宋体" w:cs="Times New Roman"/>
      <w:color w:val="000000"/>
      <w:kern w:val="0"/>
      <w:sz w:val="24"/>
      <w:szCs w:val="20"/>
      <w:lang w:eastAsia="de-DE" w:val="en-US"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MDPI11articletype" w:customStyle="1">
    <w:name w:val="MDPI_1.1_article_type"/>
    <w:next w:val="Normal"/>
    <w:qFormat/>
    <w:rsid w:val="008234e7"/>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8234e7"/>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8234e7"/>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8234e7"/>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8234e7"/>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8234e7"/>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8234e7"/>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8234e7"/>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8234e7"/>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8234e7"/>
    <w:pPr>
      <w:ind w:hanging="0"/>
    </w:pPr>
    <w:rPr/>
  </w:style>
  <w:style w:type="paragraph" w:styleId="MDPI31text" w:customStyle="1">
    <w:name w:val="MDPI_3.1_text"/>
    <w:qFormat/>
    <w:rsid w:val="00d504d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8234e7"/>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8234e7"/>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8234e7"/>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1a4f63"/>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1a4f63"/>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8234e7"/>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8234e7"/>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8234e7"/>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d40cca"/>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8234e7"/>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8234e7"/>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8234e7"/>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8234e7"/>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8234e7"/>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8234e7"/>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cc4535"/>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8234e7"/>
    <w:pPr/>
    <w:rPr>
      <w:rFonts w:cs="Tahoma"/>
      <w:szCs w:val="18"/>
    </w:rPr>
  </w:style>
  <w:style w:type="paragraph" w:styleId="MDPI34textspacebefore" w:customStyle="1">
    <w:name w:val="MDPI_3.4_text_space_before"/>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8234e7"/>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8234e7"/>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8234e7"/>
    <w:pPr>
      <w:widowControl/>
      <w:bidi w:val="0"/>
      <w:snapToGrid w:val="false"/>
      <w:spacing w:lineRule="atLeast" w:line="240" w:before="120" w:after="120"/>
      <w:ind w:end="113"/>
      <w:jc w:val="start"/>
    </w:pPr>
    <w:rPr>
      <w:rFonts w:ascii="Palatino Linotype" w:hAnsi="Palatino Linotype" w:cs="Cordia New" w:eastAsia="宋体"/>
      <w:color w:val="auto"/>
      <w:kern w:val="0"/>
      <w:sz w:val="14"/>
      <w:szCs w:val="22"/>
      <w:lang w:val="en-US" w:eastAsia="zh-CN" w:bidi="ar-SA"/>
    </w:rPr>
  </w:style>
  <w:style w:type="paragraph" w:styleId="MDPI62backmatter" w:customStyle="1">
    <w:name w:val="MDPI_6.2_back_matter"/>
    <w:qFormat/>
    <w:rsid w:val="008234e7"/>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8234e7"/>
    <w:pPr>
      <w:widowControl/>
      <w:bidi w:val="0"/>
      <w:snapToGrid w:val="false"/>
      <w:spacing w:lineRule="atLeast" w:line="280" w:before="240" w:after="0"/>
      <w:jc w:val="both"/>
    </w:pPr>
    <w:rPr>
      <w:rFonts w:ascii="Palatino Linotype" w:hAnsi="Palatino Linotype" w:eastAsia="宋体" w:cs="Times New Roman"/>
      <w:color w:val="000000"/>
      <w:kern w:val="0"/>
      <w:sz w:val="18"/>
      <w:szCs w:val="20"/>
      <w:lang w:eastAsia="en-US" w:bidi="en-US" w:val="en-US"/>
    </w:rPr>
  </w:style>
  <w:style w:type="paragraph" w:styleId="MDPI15academiceditor" w:customStyle="1">
    <w:name w:val="MDPI_1.5_academic_editor"/>
    <w:qFormat/>
    <w:rsid w:val="00c33af0"/>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8234e7"/>
    <w:pPr>
      <w:widowControl/>
      <w:bidi w:val="0"/>
      <w:snapToGrid w:val="false"/>
      <w:spacing w:lineRule="atLeast" w:line="280" w:before="240" w:after="120"/>
      <w:jc w:val="center"/>
    </w:pPr>
    <w:rPr>
      <w:rFonts w:ascii="Palatino Linotype" w:hAnsi="Palatino Linotype" w:cs="Cordia New" w:eastAsia="宋体"/>
      <w:color w:val="000000"/>
      <w:kern w:val="0"/>
      <w:sz w:val="18"/>
      <w:szCs w:val="22"/>
      <w:lang w:bidi="en-US" w:val="en-US" w:eastAsia="zh-CN"/>
    </w:rPr>
  </w:style>
  <w:style w:type="paragraph" w:styleId="MDPI511onefigurecaption" w:customStyle="1">
    <w:name w:val="MDPI_5.1.1_one_figure_caption"/>
    <w:qFormat/>
    <w:rsid w:val="008234e7"/>
    <w:pPr>
      <w:widowControl/>
      <w:bidi w:val="0"/>
      <w:snapToGrid w:val="false"/>
      <w:spacing w:lineRule="atLeast" w:line="280" w:before="240" w:after="120"/>
      <w:jc w:val="center"/>
    </w:pPr>
    <w:rPr>
      <w:rFonts w:ascii="Palatino Linotype" w:hAnsi="Palatino Linotype" w:eastAsia="宋体" w:cs="Times New Roman"/>
      <w:color w:val="000000"/>
      <w:kern w:val="0"/>
      <w:sz w:val="18"/>
      <w:szCs w:val="20"/>
      <w:lang w:bidi="en-US" w:val="en-US" w:eastAsia="zh-CN"/>
    </w:rPr>
  </w:style>
  <w:style w:type="paragraph" w:styleId="MDPI72copyright" w:customStyle="1">
    <w:name w:val="MDPI_7.2_copyright"/>
    <w:qFormat/>
    <w:rsid w:val="003a421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8234e7"/>
    <w:pPr/>
    <w:rPr/>
  </w:style>
  <w:style w:type="paragraph" w:styleId="AnnotationText">
    <w:name w:val="Annotation Text"/>
    <w:basedOn w:val="Normal"/>
    <w:link w:val="CommentTextChar"/>
    <w:rsid w:val="008234e7"/>
    <w:pPr/>
    <w:rPr/>
  </w:style>
  <w:style w:type="paragraph" w:styleId="annotationsubject">
    <w:name w:val="annotation subject"/>
    <w:basedOn w:val="AnnotationText"/>
    <w:next w:val="AnnotationText"/>
    <w:link w:val="CommentSubjectChar"/>
    <w:qFormat/>
    <w:rsid w:val="008234e7"/>
    <w:pPr/>
    <w:rPr>
      <w:b/>
      <w:bCs/>
    </w:rPr>
  </w:style>
  <w:style w:type="paragraph" w:styleId="EndnoteText">
    <w:name w:val="Endnote Text"/>
    <w:basedOn w:val="Normal"/>
    <w:link w:val="EndnoteTextChar"/>
    <w:semiHidden/>
    <w:unhideWhenUsed/>
    <w:rsid w:val="008234e7"/>
    <w:pPr>
      <w:spacing w:lineRule="auto" w:line="240"/>
    </w:pPr>
    <w:rPr/>
  </w:style>
  <w:style w:type="paragraph" w:styleId="FootnoteText">
    <w:name w:val="Footnote Text"/>
    <w:basedOn w:val="Normal"/>
    <w:link w:val="FootnoteTextChar"/>
    <w:semiHidden/>
    <w:unhideWhenUsed/>
    <w:rsid w:val="008234e7"/>
    <w:pPr>
      <w:spacing w:lineRule="auto" w:line="240"/>
    </w:pPr>
    <w:rPr/>
  </w:style>
  <w:style w:type="paragraph" w:styleId="NormalWeb">
    <w:name w:val="Normal (Web)"/>
    <w:basedOn w:val="Normal"/>
    <w:uiPriority w:val="99"/>
    <w:qFormat/>
    <w:rsid w:val="008234e7"/>
    <w:pPr/>
    <w:rPr>
      <w:szCs w:val="24"/>
    </w:rPr>
  </w:style>
  <w:style w:type="paragraph" w:styleId="MsoFootnoteText" w:customStyle="1">
    <w:name w:val="MsoFootnoteText"/>
    <w:basedOn w:val="NormalWeb"/>
    <w:qFormat/>
    <w:rsid w:val="008234e7"/>
    <w:pPr/>
    <w:rPr>
      <w:rFonts w:ascii="Times New Roman" w:hAnsi="Times New Roman"/>
    </w:rPr>
  </w:style>
  <w:style w:type="paragraph" w:styleId="MDPI71footnotes" w:customStyle="1">
    <w:name w:val="MDPI_7.1_footnotes"/>
    <w:qFormat/>
    <w:rsid w:val="00a16c1e"/>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b1b4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8234e7"/>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8234e7"/>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2a4eb7"/>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8234e7"/>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https://img.mdpi.org/data/contributor-role-instruction.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entropy-template.dot</Template>
  <TotalTime>0</TotalTime>
  <Application>LibreOffice/24.2.7.2$Linux_X86_64 LibreOffice_project/420$Build-2</Application>
  <AppVersion>15.0000</AppVersion>
  <Pages>2</Pages>
  <Words>2281</Words>
  <Characters>13004</Characters>
  <CharactersWithSpaces>15255</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2025-08-12T07:50:00Z</dcterms:created>
  <dc:creator>MDPI</dc:creator>
  <dc:description/>
  <dc:language>en-US</dc:language>
  <cp:lastModifiedBy>JAMS Production Team</cp:lastModifiedBy>
  <dcterms:modified xsi:type="dcterms:W3CDTF">2025-08-12T07:50:00Z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