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the maintainability of the resulting software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turns the decision from a choice into an acceptance. Before LLM assistance, E and Q are compared before either exists, and both lie in the future. With LLM assistance, an implementation, often an instance of E, exists as soon as the prompt returns, and the developer’s decision becomes whether to accept it or to do more work. The frame shift has three components, each of which activates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t xml:space="preserve">The frame shift is a claim about a structural condition, not about a new bias: it applies when generation precedes the quality decision, and it does not apply when the developer decides before the code exists. This boundary is what separates it from the general observation that people are biased.</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eleven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3"/>
    <w:bookmarkStart w:id="54" w:name="appendix-a.-proofs"/>
    <w:p>
      <w:pPr>
        <w:pStyle w:val="Heading1"/>
      </w:pPr>
      <w:r>
        <w:t xml:space="preserve">Appendix A. Proofs</w:t>
      </w:r>
    </w:p>
    <w:p>
      <w:pPr>
        <w:pStyle w:val="FirstParagraph"/>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4"/>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2026-10-11T08:59:18Z</dcterms:created>
  <dcterms:modified xsi:type="dcterms:W3CDTF">2026-10-11T08:59:18Z</dcterms:modified>
</cp:coreProperties>
</file>

<file path=docProps/custom.xml><?xml version="1.0" encoding="utf-8"?>
<Properties xmlns="http://schemas.openxmlformats.org/officeDocument/2006/custom-properties" xmlns:vt="http://schemas.openxmlformats.org/officeDocument/2006/docPropsVTypes"/>
</file>