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240" w:lineRule="auto"/>
        <w:jc w:val="center"/>
      </w:pPr>
      <w:r>
        <w:rPr>
          <w:rFonts w:ascii="Times New Roman" w:cs="Times New Roman" w:eastAsia="Times New Roman" w:hAnsi="Times New Roman"/>
          <w:b/>
          <w:bCs/>
          <w:sz w:val="32"/>
          <w:szCs w:val="32"/>
        </w:rPr>
        <w:t xml:space="preserve">Beyond Exposure: Fixed Costs, Foundation Models, and the Diffusion of AI Vision</w:t>
      </w:r>
    </w:p>
    <w:p>
      <w:pPr>
        <w:spacing w:after="480" w:line="240" w:lineRule="auto"/>
        <w:jc w:val="center"/>
      </w:pPr>
      <w:r>
        <w:rPr>
          <w:rFonts w:ascii="Times New Roman" w:cs="Times New Roman" w:eastAsia="Times New Roman" w:hAnsi="Times New Roman"/>
          <w:i/>
          <w:iCs/>
          <w:sz w:val="26"/>
          <w:szCs w:val="26"/>
        </w:rPr>
        <w:t xml:space="preserve">Evidence from Online Job Postings</w:t>
      </w:r>
    </w:p>
    <w:p>
      <w:pPr>
        <w:spacing w:after="120" w:line="240" w:lineRule="auto"/>
        <w:jc w:val="center"/>
      </w:pPr>
      <w:r>
        <w:rPr>
          <w:rFonts w:ascii="Times New Roman" w:cs="Times New Roman" w:eastAsia="Times New Roman" w:hAnsi="Times New Roman"/>
          <w:sz w:val="22"/>
          <w:szCs w:val="22"/>
        </w:rPr>
        <w:t xml:space="preserve">Manuscript prepared for submission to Information Systems Research</w:t>
      </w:r>
    </w:p>
    <w:p>
      <w:pPr>
        <w:spacing w:after="480" w:line="240" w:lineRule="auto"/>
        <w:jc w:val="center"/>
      </w:pPr>
      <w:r>
        <w:rPr>
          <w:rFonts w:ascii="Times New Roman" w:cs="Times New Roman" w:eastAsia="Times New Roman" w:hAnsi="Times New Roman"/>
          <w:sz w:val="22"/>
          <w:szCs w:val="22"/>
        </w:rPr>
        <w:t xml:space="preserve">[Author names and affiliations removed for double-blind review]</w:t>
      </w:r>
    </w:p>
    <w:p>
      <w:pPr>
        <w:shd w:fill="F5F5F5" w:color="auto" w:val="clear"/>
        <w:spacing w:line="240" w:lineRule="auto"/>
      </w:pPr>
      <w:r>
        <w:rPr>
          <w:rFonts w:ascii="Times New Roman" w:cs="Times New Roman" w:eastAsia="Times New Roman" w:hAnsi="Times New Roman"/>
          <w:b/>
          <w:bCs/>
          <w:sz w:val="22"/>
          <w:szCs w:val="22"/>
        </w:rPr>
        <w:t xml:space="preserve">Status of this draft. </w:t>
      </w:r>
      <w:r>
        <w:rPr>
          <w:rFonts w:ascii="Times New Roman" w:cs="Times New Roman" w:eastAsia="Times New Roman" w:hAnsi="Times New Roman"/>
          <w:sz w:val="22"/>
          <w:szCs w:val="22"/>
        </w:rPr>
        <w:t xml:space="preserve">This draft implements the full manuscript structure, theory, hypotheses, measurement and identification strategy of the research proposal. The Lightcast data have not yet been extracted and no model has been estimated; the visual-intensity measure has been constructed and validated (Section 4.3). Section 6 therefore contains pre-specified tables with placeholders and no numerical results; no empirical finding is asserted anywhere in this draft. Bibliographic details marked † must be verified before submission.</w:t>
      </w:r>
    </w:p>
    <w:p>
      <w:pPr>
        <w:pageBreakBefore/>
      </w:pPr>
    </w:p>
    <w:p>
      <w:pPr>
        <w:spacing w:after="120" w:line="240" w:lineRule="auto"/>
        <w:jc w:val="center"/>
      </w:pPr>
      <w:r>
        <w:rPr>
          <w:rFonts w:ascii="Times New Roman" w:cs="Times New Roman" w:eastAsia="Times New Roman" w:hAnsi="Times New Roman"/>
          <w:b/>
          <w:bCs/>
          <w:sz w:val="24"/>
          <w:szCs w:val="24"/>
        </w:rPr>
        <w:t xml:space="preserve">Abstract</w:t>
      </w:r>
    </w:p>
    <w:p>
      <w:pPr>
        <w:spacing w:after="200" w:line="240" w:lineRule="auto"/>
        <w:jc w:val="both"/>
      </w:pPr>
      <w:r>
        <w:rPr>
          <w:rFonts w:ascii="Times New Roman" w:cs="Times New Roman" w:eastAsia="Times New Roman" w:hAnsi="Times New Roman"/>
          <w:sz w:val="24"/>
          <w:szCs w:val="24"/>
        </w:rPr>
        <w:t xml:space="preserve">Whether AI vision displaces workers depends less on what the technology can see than on whether automating a visual task covers a largely fixed cost. We model automation as a break-even problem and predict that vision adoption reduces demand for vision-intensive occupations, especially in firms with large visual task volumes; that multimodal foundation models, including multimodal large language models accessed through APIs, lower the break-even scale and extend adoption to smaller firms; and that adoption raises demand for complementary judgment, monitoring, and integration skills. We design tests using Lightcast U.S. online job postings, 2015–2025, with adoption measured from computer-vision skills and, separately, API-based multimodal AI skills, and visual intensity from O*NET ability ratings. Staggered difference-in-differences and event studies around successive model releases separate language-task effects from visual ones. The paper moves research on AI and work from exposure to adoption economics.</w:t>
      </w:r>
    </w:p>
    <w:p>
      <w:pPr>
        <w:spacing w:after="120" w:line="24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AI adoption; computer vision; foundation models; automation; fixed costs; online job postings; technology diffusion; complementary assets; difference-in-differences</w:t>
      </w:r>
    </w:p>
    <w:p>
      <w:pPr>
        <w:spacing w:line="240" w:lineRule="auto"/>
      </w:pPr>
      <w:r>
        <w:rPr>
          <w:rFonts w:ascii="Times New Roman" w:cs="Times New Roman" w:eastAsia="Times New Roman" w:hAnsi="Times New Roman"/>
          <w:b/>
          <w:bCs/>
          <w:sz w:val="24"/>
          <w:szCs w:val="24"/>
        </w:rPr>
        <w:t xml:space="preserve">History: </w:t>
      </w:r>
      <w:r>
        <w:rPr>
          <w:rFonts w:ascii="Times New Roman" w:cs="Times New Roman" w:eastAsia="Times New Roman" w:hAnsi="Times New Roman"/>
          <w:sz w:val="24"/>
          <w:szCs w:val="24"/>
        </w:rPr>
        <w:t xml:space="preserve">[to be completed by the journal].</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1. Introduction</w:t>
      </w:r>
    </w:p>
    <w:p>
      <w:pPr>
        <w:spacing w:after="0" w:line="480" w:lineRule="auto"/>
        <w:ind w:firstLine="720"/>
        <w:jc w:val="left"/>
      </w:pPr>
      <w:r>
        <w:rPr>
          <w:rFonts w:ascii="Times New Roman" w:cs="Times New Roman" w:eastAsia="Times New Roman" w:hAnsi="Times New Roman"/>
          <w:sz w:val="24"/>
          <w:szCs w:val="24"/>
        </w:rPr>
        <w:t xml:space="preserve">Debates about artificial intelligence (AI) and work have been organized around exposure: the degree to which the capabilities of a technology overlap with the tasks that make up an occupation (Webb 2020; Felten et al. 2021; Eloundou et al. 2023). Exposure is a statement about technical feasibility. It does not say whether a firm finds it profitable to act on that feasibility. A task can be fully within reach of a machine and still be performed by a person because building, integrating, and maintaining the machine costs more than the labor it replaces.</w:t>
      </w:r>
    </w:p>
    <w:p>
      <w:pPr>
        <w:spacing w:after="0" w:line="480" w:lineRule="auto"/>
        <w:ind w:firstLine="720"/>
        <w:jc w:val="left"/>
      </w:pPr>
      <w:r>
        <w:rPr>
          <w:rFonts w:ascii="Times New Roman" w:cs="Times New Roman" w:eastAsia="Times New Roman" w:hAnsi="Times New Roman"/>
          <w:sz w:val="24"/>
          <w:szCs w:val="24"/>
        </w:rPr>
        <w:t xml:space="preserve">This distinction is sharpest for computer vision, where costs are concrete and largely fixed. Svanberg et al. (2024)† simulate the cost of deploying computer vision systems and estimate that only about 23% of the wages attached to vision-dependent tasks would be attractive to automate at current costs, because development, integration, and maintenance costs do not scale with usage. That figure is the output of a cost model. It has not been tested against how firms actually behave, and the model itself implies a sharp, observable pattern: automation should occur where the volume of a visual task is large relative to a break-even threshold, and nowhere else.</w:t>
      </w:r>
    </w:p>
    <w:p>
      <w:pPr>
        <w:spacing w:after="0" w:line="480" w:lineRule="auto"/>
        <w:ind w:firstLine="720"/>
        <w:jc w:val="left"/>
      </w:pPr>
      <w:r>
        <w:rPr>
          <w:rFonts w:ascii="Times New Roman" w:cs="Times New Roman" w:eastAsia="Times New Roman" w:hAnsi="Times New Roman"/>
          <w:sz w:val="24"/>
          <w:szCs w:val="24"/>
        </w:rPr>
        <w:t xml:space="preserve">Large pretrained vision and vision-language models, and more recently multimodal large language models (LLMs) that read images, should move this threshold. We call them multimodal foundation models. By reducing the task-specific data and development effort required, and by spreading fixed costs across many customers through application programming interfaces (APIs), they lower the fixed cost of adopting vision for any single firm. The spread of LLMs is therefore not only a confounder of AI vision adoption but plausibly one of its causes, and we treat it as part of the mechanism. If that is right, adoption should extend to smaller firms whose visual workloads were previously too small to justify a bespoke system. This is a diffusion claim as much as a labor claim, and it speaks directly to how platform-like layers of AI infrastructure reshape who can use AI.</w:t>
      </w:r>
    </w:p>
    <w:p>
      <w:pPr>
        <w:spacing w:after="0" w:line="480" w:lineRule="auto"/>
        <w:ind w:firstLine="720"/>
        <w:jc w:val="left"/>
      </w:pPr>
      <w:r>
        <w:rPr>
          <w:rFonts w:ascii="Times New Roman" w:cs="Times New Roman" w:eastAsia="Times New Roman" w:hAnsi="Times New Roman"/>
          <w:sz w:val="24"/>
          <w:szCs w:val="24"/>
        </w:rPr>
        <w:t xml:space="preserve">We therefore ask three questions. </w:t>
      </w: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How does AI vision adoption change a firm’s demand for vision-intensive occupations and complementary skills? </w:t>
      </w: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Are these effects concentrated in firms with large pre-existing volumes of visual tasks? </w:t>
      </w: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Did the arrival of multimodal foundation models, including multimodal LLMs, shift adoption toward smaller firms, consistent with a falling break-even scale?</w:t>
      </w:r>
    </w:p>
    <w:p>
      <w:pPr>
        <w:spacing w:after="0" w:line="480" w:lineRule="auto"/>
        <w:ind w:firstLine="720"/>
        <w:jc w:val="left"/>
      </w:pPr>
      <w:r>
        <w:rPr>
          <w:rFonts w:ascii="Times New Roman" w:cs="Times New Roman" w:eastAsia="Times New Roman" w:hAnsi="Times New Roman"/>
          <w:sz w:val="24"/>
          <w:szCs w:val="24"/>
        </w:rPr>
        <w:t xml:space="preserve">To answer them, we use Lightcast (formerly Burning Glass Technologies) online job postings for the United States from 2015 to 2025. Postings let us observe, at the firm-quarter level, both what a firm hires for and which technical skills it requires. We infer adoption from the skills a firm begins to demand, using one definition for traditional computer vision and a second for API-based multimodal AI, measure the visual intensity of occupations from O</w:t>
      </w:r>
      <w:r>
        <w:rPr>
          <w:rFonts w:ascii="Times New Roman" w:cs="Times New Roman" w:eastAsia="Times New Roman" w:hAnsi="Times New Roman"/>
          <w:i/>
          <w:iCs/>
          <w:sz w:val="24"/>
          <w:szCs w:val="24"/>
        </w:rPr>
        <w:t xml:space="preserve">NET analyst ratings of visual abilities (with an LLM-based classification of O</w:t>
      </w:r>
      <w:r>
        <w:rPr>
          <w:rFonts w:ascii="Times New Roman" w:cs="Times New Roman" w:eastAsia="Times New Roman" w:hAnsi="Times New Roman"/>
          <w:sz w:val="24"/>
          <w:szCs w:val="24"/>
        </w:rPr>
        <w:t xml:space="preserve">NET task statements as a secondary measure), and estimate (i) staggered difference-in-differences effects of adoption on demand for vision-intensive occupations and complementary skills, (ii) heterogeneity of these effects by pre-period task scale, and (iii) event studies around successive releases of multimodal foundation models, estimated separately by firm size. Because multimodal LLMs both diffused alongside text-only LLMs and extended them to images, all specifications control for occupational exposure to language tasks, and we do not claim to separate vision-only models from multimodal LLMs.</w:t>
      </w:r>
    </w:p>
    <w:p>
      <w:pPr>
        <w:spacing w:after="0" w:line="480" w:lineRule="auto"/>
        <w:ind w:firstLine="720"/>
        <w:jc w:val="left"/>
      </w:pPr>
      <w:r>
        <w:rPr>
          <w:rFonts w:ascii="Times New Roman" w:cs="Times New Roman" w:eastAsia="Times New Roman" w:hAnsi="Times New Roman"/>
          <w:sz w:val="24"/>
          <w:szCs w:val="24"/>
        </w:rPr>
        <w:t xml:space="preserve">The paper contributes to information systems (IS) research in three ways. First, it moves the literature on AI and work from exposure to adoption economics, providing evidence on a fixed-cost mechanism that cost simulations have proposed but not tested. Second, it contributes to research on IT business value and complementary assets by identifying which skills rise in demand alongside vision adoption. Third, it studies how foundation models, as a platform-like layer of AI infrastructure, change the diffusion of AI capabilities across firms of different sizes, connecting to IS work on digital platforms and technology diffusion.</w:t>
      </w:r>
    </w:p>
    <w:p>
      <w:pPr>
        <w:spacing w:after="0" w:line="480" w:lineRule="auto"/>
        <w:ind w:firstLine="720"/>
        <w:jc w:val="left"/>
      </w:pPr>
      <w:r>
        <w:rPr>
          <w:rFonts w:ascii="Times New Roman" w:cs="Times New Roman" w:eastAsia="Times New Roman" w:hAnsi="Times New Roman"/>
          <w:sz w:val="24"/>
          <w:szCs w:val="24"/>
        </w:rPr>
        <w:t xml:space="preserve">The remainder of the paper is organized as follows. Section 2 reviews related literature. Section 3 presents the model and hypotheses. Section 4 describes the data and measures. Section 5 sets out the empirical strategy and threats to identification. Section 6 reports the pre-specified analyses. Section 7 discusses contributions, implications, and limitations.</w:t>
      </w:r>
    </w:p>
    <w:p>
      <w:pPr>
        <w:pStyle w:val="Heading1"/>
        <w:keepNext/>
        <w:spacing w:after="120" w:before="360" w:line="240" w:lineRule="auto"/>
      </w:pPr>
      <w:r>
        <w:rPr>
          <w:rFonts w:ascii="Times New Roman" w:cs="Times New Roman" w:eastAsia="Times New Roman" w:hAnsi="Times New Roman"/>
          <w:b/>
          <w:bCs/>
          <w:caps/>
          <w:sz w:val="24"/>
          <w:szCs w:val="24"/>
        </w:rPr>
        <w:t xml:space="preserve">2. Related Literature</w:t>
      </w:r>
    </w:p>
    <w:p>
      <w:pPr>
        <w:pStyle w:val="Heading2"/>
        <w:keepNext/>
        <w:spacing w:after="120" w:before="240" w:line="240" w:lineRule="auto"/>
      </w:pPr>
      <w:r>
        <w:rPr>
          <w:rFonts w:ascii="Times New Roman" w:cs="Times New Roman" w:eastAsia="Times New Roman" w:hAnsi="Times New Roman"/>
          <w:b/>
          <w:bCs/>
          <w:sz w:val="24"/>
          <w:szCs w:val="24"/>
        </w:rPr>
        <w:t xml:space="preserve">2.1 AI Exposure and Labor Demand</w:t>
      </w:r>
    </w:p>
    <w:p>
      <w:pPr>
        <w:spacing w:after="0" w:line="480" w:lineRule="auto"/>
        <w:ind w:firstLine="720"/>
        <w:jc w:val="left"/>
      </w:pPr>
      <w:r>
        <w:rPr>
          <w:rFonts w:ascii="Times New Roman" w:cs="Times New Roman" w:eastAsia="Times New Roman" w:hAnsi="Times New Roman"/>
          <w:sz w:val="24"/>
          <w:szCs w:val="24"/>
        </w:rPr>
        <w:t xml:space="preserve">A large literature measures how closely AI capabilities map onto occupational tasks. Webb (2020)† links patent text to task descriptions, Felten et al. (2021) link AI application progress to workplace abilities and build occupation-, industry-, and geography-level exposure indices, and Eloundou et al. (2023) assess the exposure of occupations to LLMs. Acemoglu et al. (2022) move from exposure to behavior, using online vacancies to show that establishments with greater AI-exposed task content reduce hiring for non-AI positions. We build on this vacancy-based approach but ask a different question. Exposure indices rank occupations by feasibility; we ask when feasibility is converted into adoption, and we exploit variation in firm scale that the exposure literature does not use.</w:t>
      </w:r>
    </w:p>
    <w:p>
      <w:pPr>
        <w:pStyle w:val="Heading2"/>
        <w:keepNext/>
        <w:spacing w:after="120" w:before="240" w:line="240" w:lineRule="auto"/>
      </w:pPr>
      <w:r>
        <w:rPr>
          <w:rFonts w:ascii="Times New Roman" w:cs="Times New Roman" w:eastAsia="Times New Roman" w:hAnsi="Times New Roman"/>
          <w:b/>
          <w:bCs/>
          <w:sz w:val="24"/>
          <w:szCs w:val="24"/>
        </w:rPr>
        <w:t xml:space="preserve">2.2 Economics of Automation and Prediction</w:t>
      </w:r>
    </w:p>
    <w:p>
      <w:pPr>
        <w:spacing w:after="0" w:line="480" w:lineRule="auto"/>
        <w:ind w:firstLine="720"/>
        <w:jc w:val="left"/>
      </w:pPr>
      <w:r>
        <w:rPr>
          <w:rFonts w:ascii="Times New Roman" w:cs="Times New Roman" w:eastAsia="Times New Roman" w:hAnsi="Times New Roman"/>
          <w:sz w:val="24"/>
          <w:szCs w:val="24"/>
        </w:rPr>
        <w:t xml:space="preserve">Agrawal et al. (2018) frame AI as a fall in the cost of prediction, which raises the value of complements such as judgment and action. This framing motivates our complementarity hypothesis. The cost-effectiveness approach of Svanberg et al. (2024)† adds that the cost of AI is not only the marginal cost of a prediction but also a fixed cost of building and maintaining a system. Our contribution is to test this logic with observed adoption rather than simulated cost.</w:t>
      </w:r>
    </w:p>
    <w:p>
      <w:pPr>
        <w:pStyle w:val="Heading2"/>
        <w:keepNext/>
        <w:spacing w:after="120" w:before="240" w:line="240" w:lineRule="auto"/>
      </w:pPr>
      <w:r>
        <w:rPr>
          <w:rFonts w:ascii="Times New Roman" w:cs="Times New Roman" w:eastAsia="Times New Roman" w:hAnsi="Times New Roman"/>
          <w:b/>
          <w:bCs/>
          <w:sz w:val="24"/>
          <w:szCs w:val="24"/>
        </w:rPr>
        <w:t xml:space="preserve">2.3 IT Business Value, Complementary Assets, and Diffusion</w:t>
      </w:r>
    </w:p>
    <w:p>
      <w:pPr>
        <w:spacing w:after="0" w:line="480" w:lineRule="auto"/>
        <w:ind w:firstLine="720"/>
        <w:jc w:val="left"/>
      </w:pPr>
      <w:r>
        <w:rPr>
          <w:rFonts w:ascii="Times New Roman" w:cs="Times New Roman" w:eastAsia="Times New Roman" w:hAnsi="Times New Roman"/>
          <w:sz w:val="24"/>
          <w:szCs w:val="24"/>
        </w:rPr>
        <w:t xml:space="preserve">IS research has long argued that the value of IT depends on complementary organizational assets and skills, and that diffusion is shaped by adoption costs and firm characteristics. Foundation models resemble a platform layer whose fixed development cost is borne by a provider and shared across adopters through APIs. This suggests that platform-mediated cost sharing can change who adopts, not only how much adopters gain. [Positioning against recent ISR, MIS Quarterly, and Management Science work on AI adoption and labor is to be completed in the final manuscript; the underlying proposal did not yet include this review and we do not cite specific papers here.]</w:t>
      </w:r>
    </w:p>
    <w:p>
      <w:pPr>
        <w:pStyle w:val="Heading1"/>
        <w:keepNext/>
        <w:spacing w:after="120" w:before="360" w:line="240" w:lineRule="auto"/>
      </w:pPr>
      <w:r>
        <w:rPr>
          <w:rFonts w:ascii="Times New Roman" w:cs="Times New Roman" w:eastAsia="Times New Roman" w:hAnsi="Times New Roman"/>
          <w:b/>
          <w:bCs/>
          <w:caps/>
          <w:sz w:val="24"/>
          <w:szCs w:val="24"/>
        </w:rPr>
        <w:t xml:space="preserve">3. Theory and Hypotheses</w:t>
      </w:r>
    </w:p>
    <w:p>
      <w:pPr>
        <w:pStyle w:val="Heading2"/>
        <w:keepNext/>
        <w:spacing w:after="120" w:before="240" w:line="240" w:lineRule="auto"/>
      </w:pPr>
      <w:r>
        <w:rPr>
          <w:rFonts w:ascii="Times New Roman" w:cs="Times New Roman" w:eastAsia="Times New Roman" w:hAnsi="Times New Roman"/>
          <w:b/>
          <w:bCs/>
          <w:sz w:val="24"/>
          <w:szCs w:val="24"/>
        </w:rPr>
        <w:t xml:space="preserve">3.1 A Break-Even Model of Vision Automation</w:t>
      </w:r>
    </w:p>
    <w:p>
      <w:pPr>
        <w:spacing w:after="0" w:line="480" w:lineRule="auto"/>
        <w:ind w:firstLine="720"/>
        <w:jc w:val="left"/>
      </w:pPr>
      <w:r>
        <w:rPr>
          <w:rFonts w:ascii="Times New Roman" w:cs="Times New Roman" w:eastAsia="Times New Roman" w:hAnsi="Times New Roman"/>
          <w:sz w:val="24"/>
          <w:szCs w:val="24"/>
        </w:rPr>
        <w:t xml:space="preserve">Consider a visual task performed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times per year at labor cost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per unit. An AI system has fixed cost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annualized using the capital recovery factor </w:t>
      </w:r>
      <w:r>
        <w:rPr>
          <w:rFonts w:ascii="Times New Roman" w:cs="Times New Roman" w:eastAsia="Times New Roman" w:hAnsi="Times New Roman"/>
          <w:i/>
          <w:iCs/>
          <w:sz w:val="24"/>
          <w:szCs w:val="24"/>
        </w:rPr>
        <w:t xml:space="preserve">φ(r, T)</w:t>
      </w:r>
      <w:r>
        <w:rPr>
          <w:rFonts w:ascii="Times New Roman" w:cs="Times New Roman" w:eastAsia="Times New Roman" w:hAnsi="Times New Roman"/>
          <w:sz w:val="24"/>
          <w:szCs w:val="24"/>
        </w:rPr>
        <w:t xml:space="preserve"> for discount rate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system lifetime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plus an annual maintenance rate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It also has an inference cost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per unit. Conditional on meeting the task’s accuracy requirement, the firm automates when its task volume exceeds the break-even volume:</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q* = F [ φ(r, T) + m ] / ( θ − c )</w:t>
      </w:r>
      <w:r>
        <w:rPr>
          <w:rFonts w:ascii="Times New Roman" w:cs="Times New Roman" w:eastAsia="Times New Roman" w:hAnsi="Times New Roman"/>
          <w:sz w:val="24"/>
          <w:szCs w:val="24"/>
        </w:rPr>
        <w:t xml:space="preserve">	(1)</w:t>
      </w:r>
    </w:p>
    <w:p>
      <w:pPr>
        <w:spacing w:after="0" w:line="480" w:lineRule="auto"/>
        <w:ind w:firstLine="720"/>
        <w:jc w:val="left"/>
      </w:pPr>
      <w:r>
        <w:rPr>
          <w:rFonts w:ascii="Times New Roman" w:cs="Times New Roman" w:eastAsia="Times New Roman" w:hAnsi="Times New Roman"/>
          <w:sz w:val="24"/>
          <w:szCs w:val="24"/>
        </w:rPr>
        <w:t xml:space="preserve">Equation (1) has two implications that exposure measures cannot capture. First, even technically feasible automation is not adopted when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rPr>
        <w:t xml:space="preserve">, so adoption is concentrated among firms with large visual workloads. Second, </w:t>
      </w:r>
      <w:r>
        <w:rPr>
          <w:rFonts w:ascii="Times New Roman" w:cs="Times New Roman" w:eastAsia="Times New Roman" w:hAnsi="Times New Roman"/>
          <w:sz w:val="24"/>
          <w:szCs w:val="24"/>
        </w:rPr>
        <w:t xml:space="preserve">q*</w:t>
      </w:r>
      <w:r>
        <w:rPr>
          <w:rFonts w:ascii="Times New Roman" w:cs="Times New Roman" w:eastAsia="Times New Roman" w:hAnsi="Times New Roman"/>
          <w:i/>
          <w:iCs/>
          <w:sz w:val="24"/>
          <w:szCs w:val="24"/>
        </w:rPr>
        <w:t xml:space="preserve"> is proportional to the fixed cost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 Multimodal foundation models, from vision-language models to multimodal LLMs offered through APIs, reduce task-specific data and development costs and are shared across many customers, so they lower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 and therefore </w:t>
      </w:r>
      <w:r>
        <w:rPr>
          <w:rFonts w:ascii="Times New Roman" w:cs="Times New Roman" w:eastAsia="Times New Roman" w:hAnsi="Times New Roman"/>
          <w:sz w:val="24"/>
          <w:szCs w:val="24"/>
        </w:rPr>
        <w:t xml:space="preserve">q*</w:t>
      </w:r>
      <w:r>
        <w:rPr>
          <w:rFonts w:ascii="Times New Roman" w:cs="Times New Roman" w:eastAsia="Times New Roman" w:hAnsi="Times New Roman"/>
          <w:i/>
          <w:iCs/>
          <w:sz w:val="24"/>
          <w:szCs w:val="24"/>
        </w:rPr>
        <w:t xml:space="preserve">. They may, however, raise the per-unit inference cost </w:t>
      </w:r>
      <w:r>
        <w:rPr>
          <w:rFonts w:ascii="Times New Roman" w:cs="Times New Roman" w:eastAsia="Times New Roman" w:hAnsi="Times New Roman"/>
          <w:sz w:val="24"/>
          <w:szCs w:val="24"/>
        </w:rPr>
        <w:t xml:space="preserve">c</w:t>
      </w:r>
      <w:r>
        <w:rPr>
          <w:rFonts w:ascii="Times New Roman" w:cs="Times New Roman" w:eastAsia="Times New Roman" w:hAnsi="Times New Roman"/>
          <w:i/>
          <w:iCs/>
          <w:sz w:val="24"/>
          <w:szCs w:val="24"/>
        </w:rPr>
        <w:t xml:space="preserve">, which works in the opposite direction by raising </w:t>
      </w:r>
      <w:r>
        <w:rPr>
          <w:rFonts w:ascii="Times New Roman" w:cs="Times New Roman" w:eastAsia="Times New Roman" w:hAnsi="Times New Roman"/>
          <w:sz w:val="24"/>
          <w:szCs w:val="24"/>
        </w:rPr>
        <w:t xml:space="preserve">q**. The net effect on the threshold is thus an empirical matter, and our hypothesis is that the fixed-cost effect dominates in practice.</w:t>
      </w:r>
    </w:p>
    <w:p>
      <w:pPr>
        <w:pStyle w:val="Heading2"/>
        <w:keepNext/>
        <w:spacing w:after="120" w:before="240" w:line="240" w:lineRule="auto"/>
      </w:pPr>
      <w:r>
        <w:rPr>
          <w:rFonts w:ascii="Times New Roman" w:cs="Times New Roman" w:eastAsia="Times New Roman" w:hAnsi="Times New Roman"/>
          <w:b/>
          <w:bCs/>
          <w:sz w:val="24"/>
          <w:szCs w:val="24"/>
        </w:rPr>
        <w:t xml:space="preserve">3.2 Hypotheses</w:t>
      </w:r>
    </w:p>
    <w:p>
      <w:pPr>
        <w:spacing w:after="0" w:line="480" w:lineRule="auto"/>
        <w:ind w:firstLine="720"/>
        <w:jc w:val="left"/>
      </w:pPr>
      <w:r>
        <w:rPr>
          <w:rFonts w:ascii="Times New Roman" w:cs="Times New Roman" w:eastAsia="Times New Roman" w:hAnsi="Times New Roman"/>
          <w:sz w:val="24"/>
          <w:szCs w:val="24"/>
        </w:rPr>
        <w:t xml:space="preserve">Adopting firms substitute AI for labor in tasks above the threshold, which yields H1. Because the saving from automation scales with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and only firms with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well above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rPr>
        <w:t xml:space="preserve"> gain enough to adopt at scale, displacement should be larger where visual task volume is high (H2). A fall in </w:t>
      </w:r>
      <w:r>
        <w:rPr>
          <w:rFonts w:ascii="Times New Roman" w:cs="Times New Roman" w:eastAsia="Times New Roman" w:hAnsi="Times New Roman"/>
          <w:sz w:val="24"/>
          <w:szCs w:val="24"/>
        </w:rPr>
        <w:t xml:space="preserve">q** brings smaller firms across the threshold (H3). Finally, cheaper visual prediction raises the value of complements in the sense of Agrawal et al. (2018) (H4).</w:t>
      </w:r>
    </w:p>
    <w:p>
      <w:pPr>
        <w:keepNext/>
        <w:spacing w:after="80" w:before="240" w:line="240" w:lineRule="auto"/>
        <w:jc w:val="center"/>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Hypotheses and observable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cantSplit/>
          <w:tblHeader/>
        </w:trPr>
        <w:tc>
          <w:tcPr>
            <w:tcW w:type="dxa" w:w="9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p>
        </w:tc>
        <w:tc>
          <w:tcPr>
            <w:tcW w:type="dxa" w:w="4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Hypothesis</w:t>
            </w:r>
          </w:p>
        </w:tc>
        <w:tc>
          <w:tcPr>
            <w:tcW w:type="dxa" w:w="44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Prediction in posting data</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H1</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Vision adoption displaces demand for vision-intensive tasks within the adopting firm.</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Postings in high-visual-intensity occupations fall after adoption.</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H2</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Displacement is larger where visual task volume is high (q well above q*).</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Effect increases with pre-period scale of vision-intensive postings.</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H3</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Multimodal foundation models (vision-language models and multimodal LLMs accessed through APIs) lower the break-even scale of adoption.</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After each release, adoption, measured both by traditional computer-vision skills and by API-based multimodal AI skills, rises most among smaller firms with high visual exposure.</w:t>
            </w:r>
          </w:p>
        </w:tc>
      </w:tr>
      <w:tr>
        <w:trPr>
          <w:cantSplit/>
          <w:tblHeader w:val="false"/>
        </w:trPr>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H4</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Cheaper visual prediction raises demand for complements: judgment, monitoring, and integration.</w:t>
            </w:r>
          </w:p>
        </w:tc>
        <w:tc>
          <w:tcPr>
            <w:tcW w:type="dxa" w:w="44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Share of postings requiring these skills rises in adopting firms.</w:t>
            </w:r>
          </w:p>
        </w:tc>
      </w:tr>
    </w:tbl>
    <w:p>
      <w:pPr>
        <w:spacing w:line="240" w:lineRule="auto"/>
      </w:pPr>
      <w:r>
        <w:rPr>
          <w:rFonts w:ascii="Times New Roman" w:cs="Times New Roman" w:eastAsia="Times New Roman" w:hAnsi="Times New Roman"/>
        </w:rPr>
        <w:t xml:space="preserve"/>
      </w:r>
    </w:p>
    <w:p>
      <w:pPr>
        <w:pStyle w:val="Heading1"/>
        <w:keepNext/>
        <w:spacing w:after="120" w:before="360" w:line="240" w:lineRule="auto"/>
      </w:pPr>
      <w:r>
        <w:rPr>
          <w:rFonts w:ascii="Times New Roman" w:cs="Times New Roman" w:eastAsia="Times New Roman" w:hAnsi="Times New Roman"/>
          <w:b/>
          <w:bCs/>
          <w:caps/>
          <w:sz w:val="24"/>
          <w:szCs w:val="24"/>
        </w:rPr>
        <w:t xml:space="preserve">4. Data and Measures</w:t>
      </w:r>
    </w:p>
    <w:p>
      <w:pPr>
        <w:pStyle w:val="Heading2"/>
        <w:keepNext/>
        <w:spacing w:after="120" w:before="240" w:line="240" w:lineRule="auto"/>
      </w:pPr>
      <w:r>
        <w:rPr>
          <w:rFonts w:ascii="Times New Roman" w:cs="Times New Roman" w:eastAsia="Times New Roman" w:hAnsi="Times New Roman"/>
          <w:b/>
          <w:bCs/>
          <w:sz w:val="24"/>
          <w:szCs w:val="24"/>
        </w:rPr>
        <w:t xml:space="preserve">4.1 Lightcast Job Postings</w:t>
      </w:r>
    </w:p>
    <w:p>
      <w:pPr>
        <w:spacing w:after="0" w:line="480" w:lineRule="auto"/>
        <w:ind w:firstLine="720"/>
        <w:jc w:val="left"/>
      </w:pPr>
      <w:r>
        <w:rPr>
          <w:rFonts w:ascii="Times New Roman" w:cs="Times New Roman" w:eastAsia="Times New Roman" w:hAnsi="Times New Roman"/>
          <w:sz w:val="24"/>
          <w:szCs w:val="24"/>
        </w:rPr>
        <w:t xml:space="preserve">The primary source is Lightcast U.S. online job postings, which record employer, occupation (SOC/O*NET), industry, location, posting date, required skills, and, where available, posted wages. The sample covers 2015–2025 at the firm-quarter level. To obtain stable firm-level measures we restrict to employers with at least 50 postings per year in the pre-period (2015–2018), and we match a subsample to Compustat for employment and financial controls.</w:t>
      </w:r>
    </w:p>
    <w:p>
      <w:pPr>
        <w:pStyle w:val="Heading2"/>
        <w:keepNext/>
        <w:spacing w:after="120" w:before="240" w:line="240" w:lineRule="auto"/>
      </w:pPr>
      <w:r>
        <w:rPr>
          <w:rFonts w:ascii="Times New Roman" w:cs="Times New Roman" w:eastAsia="Times New Roman" w:hAnsi="Times New Roman"/>
          <w:b/>
          <w:bCs/>
          <w:sz w:val="24"/>
          <w:szCs w:val="24"/>
        </w:rPr>
        <w:t xml:space="preserve">4.2 Key Measures</w:t>
      </w:r>
    </w:p>
    <w:p>
      <w:pPr>
        <w:spacing w:after="0" w:line="480" w:lineRule="auto"/>
        <w:ind w:firstLine="720"/>
        <w:jc w:val="left"/>
      </w:pPr>
      <w:r>
        <w:rPr>
          <w:rFonts w:ascii="Times New Roman" w:cs="Times New Roman" w:eastAsia="Times New Roman" w:hAnsi="Times New Roman"/>
          <w:sz w:val="24"/>
          <w:szCs w:val="24"/>
        </w:rPr>
        <w:t xml:space="preserve">Table 2 summarizes the construction of the main variables. </w:t>
      </w:r>
      <w:r>
        <w:rPr>
          <w:rFonts w:ascii="Times New Roman" w:cs="Times New Roman" w:eastAsia="Times New Roman" w:hAnsi="Times New Roman"/>
          <w:i/>
          <w:iCs/>
          <w:sz w:val="24"/>
          <w:szCs w:val="24"/>
        </w:rPr>
        <w:t xml:space="preserve">Vision adoption (CV)</w:t>
      </w:r>
      <w:r>
        <w:rPr>
          <w:rFonts w:ascii="Times New Roman" w:cs="Times New Roman" w:eastAsia="Times New Roman" w:hAnsi="Times New Roman"/>
          <w:sz w:val="24"/>
          <w:szCs w:val="24"/>
        </w:rPr>
        <w:t xml:space="preserve"> is the first quarter in which postings requiring computer-vision skills (for example, computer vision, machine vision, image processing, object detection, image segmentation, OpenCV) exceed a threshold share of the firm’s postings; we vary the threshold in robustness checks, and exact skill names will be verified against the current Lightcast Open Skills taxonomy. Because API-based use of multimodal models requires no computer-vision engineer, we also define </w:t>
      </w:r>
      <w:r>
        <w:rPr>
          <w:rFonts w:ascii="Times New Roman" w:cs="Times New Roman" w:eastAsia="Times New Roman" w:hAnsi="Times New Roman"/>
          <w:i/>
          <w:iCs/>
          <w:sz w:val="24"/>
          <w:szCs w:val="24"/>
        </w:rPr>
        <w:t xml:space="preserve">multimodal AI adoption (MM)</w:t>
      </w:r>
      <w:r>
        <w:rPr>
          <w:rFonts w:ascii="Times New Roman" w:cs="Times New Roman" w:eastAsia="Times New Roman" w:hAnsi="Times New Roman"/>
          <w:sz w:val="24"/>
          <w:szCs w:val="24"/>
        </w:rPr>
        <w:t xml:space="preserve"> as the first quarter in which postings requiring generative-AI, LLM, or foundation-model API skills exceed a threshold share. CV captures building or customizing vision systems, while MM captures buying general-purpose capability; neither alone measures AI vision use, so we report both. </w:t>
      </w:r>
      <w:r>
        <w:rPr>
          <w:rFonts w:ascii="Times New Roman" w:cs="Times New Roman" w:eastAsia="Times New Roman" w:hAnsi="Times New Roman"/>
          <w:i/>
          <w:iCs/>
          <w:sz w:val="24"/>
          <w:szCs w:val="24"/>
        </w:rPr>
        <w:t xml:space="preserve">Occupational visual intensity</w:t>
      </w:r>
      <w:r>
        <w:rPr>
          <w:rFonts w:ascii="Times New Roman" w:cs="Times New Roman" w:eastAsia="Times New Roman" w:hAnsi="Times New Roman"/>
          <w:sz w:val="24"/>
          <w:szCs w:val="24"/>
        </w:rPr>
        <w:t xml:space="preserve"> is our primary measure, built from the O</w:t>
      </w:r>
      <w:r>
        <w:rPr>
          <w:rFonts w:ascii="Times New Roman" w:cs="Times New Roman" w:eastAsia="Times New Roman" w:hAnsi="Times New Roman"/>
          <w:i/>
          <w:iCs/>
          <w:sz w:val="24"/>
          <w:szCs w:val="24"/>
        </w:rPr>
        <w:t xml:space="preserve">NET Abilities database: the mean importance rating (1–5, rescaled to 0–1) of seven visual abilities (near vision, far vision, visual color discrimination, night vision, peripheral vision, depth perception, glare sensitivity), collapsed from O</w:t>
      </w:r>
      <w:r>
        <w:rPr>
          <w:rFonts w:ascii="Times New Roman" w:cs="Times New Roman" w:eastAsia="Times New Roman" w:hAnsi="Times New Roman"/>
          <w:sz w:val="24"/>
          <w:szCs w:val="24"/>
        </w:rPr>
        <w:t xml:space="preserve">NET-SOC to six-digit SOC codes. As a secondary measure, we classify O</w:t>
      </w:r>
      <w:r>
        <w:rPr>
          <w:rFonts w:ascii="Times New Roman" w:cs="Times New Roman" w:eastAsia="Times New Roman" w:hAnsi="Times New Roman"/>
          <w:i/>
          <w:iCs/>
          <w:sz w:val="24"/>
          <w:szCs w:val="24"/>
        </w:rPr>
        <w:t xml:space="preserve">NET task statements by their dependence on visual perception using a large language model and aggregate the share of visually dependent tasks by occupation. </w:t>
      </w:r>
      <w:r>
        <w:rPr>
          <w:rFonts w:ascii="Times New Roman" w:cs="Times New Roman" w:eastAsia="Times New Roman" w:hAnsi="Times New Roman"/>
          <w:sz w:val="24"/>
          <w:szCs w:val="24"/>
        </w:rPr>
        <w:t xml:space="preserve">Firm visual exposure</w:t>
      </w:r>
      <w:r>
        <w:rPr>
          <w:rFonts w:ascii="Times New Roman" w:cs="Times New Roman" w:eastAsia="Times New Roman" w:hAnsi="Times New Roman"/>
          <w:i/>
          <w:iCs/>
          <w:sz w:val="24"/>
          <w:szCs w:val="24"/>
        </w:rPr>
        <w:t xml:space="preserve"> aggregates occupational visual intensity using pre-period posting weights, and </w:t>
      </w:r>
      <w:r>
        <w:rPr>
          <w:rFonts w:ascii="Times New Roman" w:cs="Times New Roman" w:eastAsia="Times New Roman" w:hAnsi="Times New Roman"/>
          <w:sz w:val="24"/>
          <w:szCs w:val="24"/>
        </w:rPr>
        <w:t xml:space="preserve">firm language exposure* does the same for occupational LLM exposure from Eloundou et al. (2023). Firm-level exposures are fixed in the pre-period so that they are not themselves affected by adoption.</w:t>
      </w:r>
    </w:p>
    <w:p>
      <w:pPr>
        <w:keepNext/>
        <w:spacing w:after="80" w:before="240" w:line="240" w:lineRule="auto"/>
        <w:jc w:val="center"/>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Variable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cantSplit/>
          <w:tblHeader/>
        </w:trPr>
        <w:tc>
          <w:tcPr>
            <w:tcW w:type="dxa" w:w="17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Construct</w:t>
            </w:r>
          </w:p>
        </w:tc>
        <w:tc>
          <w:tcPr>
            <w:tcW w:type="dxa" w:w="55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Operationalization</w:t>
            </w:r>
          </w:p>
        </w:tc>
        <w:tc>
          <w:tcPr>
            <w:tcW w:type="dxa" w:w="2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Source</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Vision adoption (CV)</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 posts jobs requiring computer-vision skills. Adoption date = first quarter in which such postings exceed a threshold share; thresholds varied in robustness checks.</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Lightcast skills taxonomy (names to be verified)</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Multimodal AI adoption (MM)</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 posts jobs requiring generative-AI, LLM, multimodal or foundation-model API skills (for example, prompt engineering, OpenAI API, multimodal models). Captures API-based use that needs no computer-vision engineer; a broad proxy, interpreted jointly with visual exposure.</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Lightcast skills taxonomy (names to be verified)</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Occupational visual intensity (primary)</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Mean importance of seven O*NET visual abilities (near/far vision, color discrimination, night/peripheral vision, depth perception, glare sensitivity), rescaled to 0–1; SOC6 level.</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O*NET Abilities</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Visual task share (secondary)</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Share of an occupation’s O*NET task statements that depend on visual perception, classified by an LLM.</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O*NET task statements</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 visual exposure (VisExp)</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Posting-weighted average of primary occupational visual intensity in the pre-period (2015–2018).</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Lightcast + O*NET</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 language exposure (LangExp)</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Posting-weighted average of occupational exposure to large language models.</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Eloundou et al. (2023)</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Task scale</w:t>
            </w:r>
          </w:p>
        </w:tc>
        <w:tc>
          <w:tcPr>
            <w:tcW w:type="dxa" w:w="5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Pre-period count of postings in vision-intensive occupations; Compustat employment for the matched subsample.</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Lightcast, Compustat</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Outcomes</w:t>
            </w:r>
          </w:p>
        </w:tc>
        <w:tc>
          <w:tcPr>
            <w:tcW w:type="dxa" w:w="5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Log postings and posting share in high-visual-intensity occupations; share of postings requiring judgment, monitoring, or systems-integration skills; posted wages.</w:t>
            </w:r>
          </w:p>
        </w:tc>
        <w:tc>
          <w:tcPr>
            <w:tcW w:type="dxa" w:w="2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Lightcast</w:t>
            </w:r>
          </w:p>
        </w:tc>
      </w:tr>
    </w:tbl>
    <w:p>
      <w:pPr>
        <w:spacing w:line="240" w:lineRule="auto"/>
      </w:pPr>
      <w:r>
        <w:rPr>
          <w:rFonts w:ascii="Times New Roman" w:cs="Times New Roman" w:eastAsia="Times New Roman" w:hAnsi="Times New Roman"/>
        </w:rPr>
        <w:t xml:space="preserve"/>
      </w:r>
    </w:p>
    <w:p>
      <w:pPr>
        <w:pStyle w:val="Heading2"/>
        <w:keepNext/>
        <w:spacing w:after="120" w:before="240" w:line="240" w:lineRule="auto"/>
      </w:pPr>
      <w:r>
        <w:rPr>
          <w:rFonts w:ascii="Times New Roman" w:cs="Times New Roman" w:eastAsia="Times New Roman" w:hAnsi="Times New Roman"/>
          <w:b/>
          <w:bCs/>
          <w:sz w:val="24"/>
          <w:szCs w:val="24"/>
        </w:rPr>
        <w:t xml:space="preserve">4.3 Validation of the Visual-Intensity Measure</w:t>
      </w:r>
    </w:p>
    <w:p>
      <w:pPr>
        <w:spacing w:after="0" w:line="480" w:lineRule="auto"/>
        <w:ind w:firstLine="720"/>
        <w:jc w:val="left"/>
      </w:pPr>
      <w:r>
        <w:rPr>
          <w:rFonts w:ascii="Times New Roman" w:cs="Times New Roman" w:eastAsia="Times New Roman" w:hAnsi="Times New Roman"/>
          <w:sz w:val="24"/>
          <w:szCs w:val="24"/>
        </w:rPr>
        <w:t xml:space="preserve">We validated the measures before using them. The seven O</w:t>
      </w:r>
      <w:r>
        <w:rPr>
          <w:rFonts w:ascii="Times New Roman" w:cs="Times New Roman" w:eastAsia="Times New Roman" w:hAnsi="Times New Roman"/>
          <w:i/>
          <w:iCs/>
          <w:sz w:val="24"/>
          <w:szCs w:val="24"/>
        </w:rPr>
        <w:t xml:space="preserve">NET visual-ability ratings are internally consistent across the 879 O</w:t>
      </w:r>
      <w:r>
        <w:rPr>
          <w:rFonts w:ascii="Times New Roman" w:cs="Times New Roman" w:eastAsia="Times New Roman" w:hAnsi="Times New Roman"/>
          <w:sz w:val="24"/>
          <w:szCs w:val="24"/>
        </w:rPr>
        <w:t xml:space="preserve">NET-SOC occupations with ratings (Cronbach’s α = 0.88), and the composite ranks occupations plausibly: airline pilots, commercial pilots, locomotive engineers, and bus drivers score highest, while telemarketers, credit counselors, and door-to-door sales workers score lowest. The composite covers 763 six-digit SOC occupations.</w:t>
      </w:r>
    </w:p>
    <w:p>
      <w:pPr>
        <w:spacing w:after="0" w:line="480" w:lineRule="auto"/>
        <w:ind w:firstLine="720"/>
        <w:jc w:val="left"/>
      </w:pPr>
      <w:r>
        <w:rPr>
          <w:rFonts w:ascii="Times New Roman" w:cs="Times New Roman" w:eastAsia="Times New Roman" w:hAnsi="Times New Roman"/>
          <w:sz w:val="24"/>
          <w:szCs w:val="24"/>
        </w:rPr>
        <w:t xml:space="preserve">We also compared the measures against human judgment. One coder rated a random sample of 200 O*NET task statements (0 = not dependent on visual perception, 1 = secondary, 2 = central). The human task rating correlates positively with the primary occupational measure (Spearman ρ = 0.43, n = 188 tasks with a matched occupation rating, 95% bootstrap interval 0.31 to 0.54), and mean occupational visual intensity rises monotonically across human ratings (0.27, 0.32, and 0.36 for ratings of 0, 1, and 2). The correlation is moderate rather than high, and it is bounded from above because the human rating is at the task level while the primary measure is at the occupation level.</w:t>
      </w:r>
    </w:p>
    <w:p>
      <w:pPr>
        <w:spacing w:after="0" w:line="480" w:lineRule="auto"/>
        <w:ind w:firstLine="720"/>
        <w:jc w:val="left"/>
      </w:pPr>
      <w:r>
        <w:rPr>
          <w:rFonts w:ascii="Times New Roman" w:cs="Times New Roman" w:eastAsia="Times New Roman" w:hAnsi="Times New Roman"/>
          <w:sz w:val="24"/>
          <w:szCs w:val="24"/>
        </w:rPr>
        <w:t xml:space="preserve">The LLM-based task classification agreed only weakly with the human ratings on exact categories (Cohen’s κ between 0.19 and 0.23 for two models on 200 tasks; Spearman ρ with the human rating about 0.40), and a held-out test of a revised rubric with examples did not improve agreement (κ between 0.04 and 0.10 on the 100 held-out tasks). Because only one human coder was used, we cannot separate model error from disagreement among humans. For these reasons the LLM classification is used only as a secondary measure and as a robustness check, and a second human coder is planned to estimate inter-rater reliability.</w:t>
      </w:r>
    </w:p>
    <w:p>
      <w:pPr>
        <w:pStyle w:val="Heading1"/>
        <w:keepNext/>
        <w:spacing w:after="120" w:before="360" w:line="240" w:lineRule="auto"/>
      </w:pPr>
      <w:r>
        <w:rPr>
          <w:rFonts w:ascii="Times New Roman" w:cs="Times New Roman" w:eastAsia="Times New Roman" w:hAnsi="Times New Roman"/>
          <w:b/>
          <w:bCs/>
          <w:caps/>
          <w:sz w:val="24"/>
          <w:szCs w:val="24"/>
        </w:rPr>
        <w:t xml:space="preserve">5. Empirical Strategy</w:t>
      </w:r>
    </w:p>
    <w:p>
      <w:pPr>
        <w:pStyle w:val="Heading2"/>
        <w:keepNext/>
        <w:spacing w:after="120" w:before="240" w:line="240" w:lineRule="auto"/>
      </w:pPr>
      <w:r>
        <w:rPr>
          <w:rFonts w:ascii="Times New Roman" w:cs="Times New Roman" w:eastAsia="Times New Roman" w:hAnsi="Times New Roman"/>
          <w:b/>
          <w:bCs/>
          <w:sz w:val="24"/>
          <w:szCs w:val="24"/>
        </w:rPr>
        <w:t xml:space="preserve">5.1 Effects of Adoption (H1, H2, H4)</w:t>
      </w:r>
    </w:p>
    <w:p>
      <w:pPr>
        <w:spacing w:after="0" w:line="480" w:lineRule="auto"/>
        <w:ind w:firstLine="720"/>
        <w:jc w:val="left"/>
      </w:pPr>
      <w:r>
        <w:rPr>
          <w:rFonts w:ascii="Times New Roman" w:cs="Times New Roman" w:eastAsia="Times New Roman" w:hAnsi="Times New Roman"/>
          <w:sz w:val="24"/>
          <w:szCs w:val="24"/>
        </w:rPr>
        <w:t xml:space="preserve">Adoption timing varies across firms, so we estimate a staggered difference-in-differences design. Because two-way fixed-effects estimates are biased under heterogeneous treatment timing, we use the Callaway and Sant’Anna (2021) estimator with not-yet-treated firms as controls. The dynamic specification is:</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Y_ft = α_f + λ_jt + Σ_k β_k · 1[t − E_f = k] + X′_ft γ + ε_ft</w:t>
      </w:r>
      <w:r>
        <w:rPr>
          <w:rFonts w:ascii="Times New Roman" w:cs="Times New Roman" w:eastAsia="Times New Roman" w:hAnsi="Times New Roman"/>
          <w:sz w:val="24"/>
          <w:szCs w:val="24"/>
        </w:rPr>
        <w:t xml:space="preserve">	(2)</w:t>
      </w:r>
    </w:p>
    <w:p>
      <w:pPr>
        <w:spacing w:after="0" w:line="480" w:lineRule="auto"/>
        <w:ind w:firstLine="72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Y_ft</w:t>
      </w:r>
      <w:r>
        <w:rPr>
          <w:rFonts w:ascii="Times New Roman" w:cs="Times New Roman" w:eastAsia="Times New Roman" w:hAnsi="Times New Roman"/>
          <w:sz w:val="24"/>
          <w:szCs w:val="24"/>
        </w:rPr>
        <w:t xml:space="preserve"> is an outcome for firm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in quarter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E_f</w:t>
      </w:r>
      <w:r>
        <w:rPr>
          <w:rFonts w:ascii="Times New Roman" w:cs="Times New Roman" w:eastAsia="Times New Roman" w:hAnsi="Times New Roman"/>
          <w:sz w:val="24"/>
          <w:szCs w:val="24"/>
        </w:rPr>
        <w:t xml:space="preserve"> is the adoption quarter, </w:t>
      </w:r>
      <w:r>
        <w:rPr>
          <w:rFonts w:ascii="Times New Roman" w:cs="Times New Roman" w:eastAsia="Times New Roman" w:hAnsi="Times New Roman"/>
          <w:i/>
          <w:iCs/>
          <w:sz w:val="24"/>
          <w:szCs w:val="24"/>
        </w:rPr>
        <w:t xml:space="preserve">α_f</w:t>
      </w:r>
      <w:r>
        <w:rPr>
          <w:rFonts w:ascii="Times New Roman" w:cs="Times New Roman" w:eastAsia="Times New Roman" w:hAnsi="Times New Roman"/>
          <w:sz w:val="24"/>
          <w:szCs w:val="24"/>
        </w:rPr>
        <w:t xml:space="preserve"> are firm fixed effects, and </w:t>
      </w:r>
      <w:r>
        <w:rPr>
          <w:rFonts w:ascii="Times New Roman" w:cs="Times New Roman" w:eastAsia="Times New Roman" w:hAnsi="Times New Roman"/>
          <w:i/>
          <w:iCs/>
          <w:sz w:val="24"/>
          <w:szCs w:val="24"/>
        </w:rPr>
        <w:t xml:space="preserve">λ_jt</w:t>
      </w:r>
      <w:r>
        <w:rPr>
          <w:rFonts w:ascii="Times New Roman" w:cs="Times New Roman" w:eastAsia="Times New Roman" w:hAnsi="Times New Roman"/>
          <w:sz w:val="24"/>
          <w:szCs w:val="24"/>
        </w:rPr>
        <w:t xml:space="preserve"> are industry-by-quarter fixed effects. We estimate equation (2) with the CV adoption date as the treatment, and repeat it with the MM adoption date, which is interpreted as adoption of general-purpose AI by visually intensive firms rather than of vision specifically. H1 predicts negative post-adoption coefficients </w:t>
      </w:r>
      <w:r>
        <w:rPr>
          <w:rFonts w:ascii="Times New Roman" w:cs="Times New Roman" w:eastAsia="Times New Roman" w:hAnsi="Times New Roman"/>
          <w:i/>
          <w:iCs/>
          <w:sz w:val="24"/>
          <w:szCs w:val="24"/>
        </w:rPr>
        <w:t xml:space="preserve">β_k</w:t>
      </w:r>
      <w:r>
        <w:rPr>
          <w:rFonts w:ascii="Times New Roman" w:cs="Times New Roman" w:eastAsia="Times New Roman" w:hAnsi="Times New Roman"/>
          <w:sz w:val="24"/>
          <w:szCs w:val="24"/>
        </w:rPr>
        <w:t xml:space="preserve"> for postings in high-visual-intensity occupations, and H4 predicts positive coefficients for the share of postings requiring judgment, monitoring, or integration skills. For H2 we estimate group-time effects separately by terciles of pre-period task scale and test whether effects increase with scale.</w:t>
      </w:r>
    </w:p>
    <w:p>
      <w:pPr>
        <w:pStyle w:val="Heading2"/>
        <w:keepNext/>
        <w:spacing w:after="120" w:before="240" w:line="240" w:lineRule="auto"/>
      </w:pPr>
      <w:r>
        <w:rPr>
          <w:rFonts w:ascii="Times New Roman" w:cs="Times New Roman" w:eastAsia="Times New Roman" w:hAnsi="Times New Roman"/>
          <w:b/>
          <w:bCs/>
          <w:sz w:val="24"/>
          <w:szCs w:val="24"/>
        </w:rPr>
        <w:t xml:space="preserve">5.2 Foundation Models and the Break-Even Scale (H3)</w:t>
      </w:r>
    </w:p>
    <w:p>
      <w:pPr>
        <w:spacing w:after="0" w:line="480" w:lineRule="auto"/>
        <w:ind w:firstLine="720"/>
        <w:jc w:val="left"/>
      </w:pPr>
      <w:r>
        <w:rPr>
          <w:rFonts w:ascii="Times New Roman" w:cs="Times New Roman" w:eastAsia="Times New Roman" w:hAnsi="Times New Roman"/>
          <w:sz w:val="24"/>
          <w:szCs w:val="24"/>
        </w:rPr>
        <w:t xml:space="preserve">Adoption is itself endogenous, so for H3 we exploit the successive releases of multimodal foundation models as common shocks whose bite varies with firms’ pre-period visual exposure. Because vision-only and multimodal LLM releases overlap in time, we estimate the event study separately for four dates rather than choosing one: the 2021 release of contrastive image-text models (2021Q1), the 2023Q2 release of promptable segmentation models, the 2023Q4 release of multimodal LLMs with image input, and the 2024Q2 release of faster, cheaper multimodal LLMs. Exact release dates will be verified. The first two are vision-specific and the last two are multimodal LLM releases that can be used through APIs. The dependent variable is each of the two adoption definitions in turn. The event-study specification for a shock at date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estimated separately by firm size class, is:</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Adopt_ft = α_f + λ_jt + Σ_k δ_k (VisExp_f × 1[t = k]) + Σ_k ψ_k (LangExp_f × 1[t = k]) + ε_ft</w:t>
      </w:r>
      <w:r>
        <w:rPr>
          <w:rFonts w:ascii="Times New Roman" w:cs="Times New Roman" w:eastAsia="Times New Roman" w:hAnsi="Times New Roman"/>
          <w:sz w:val="24"/>
          <w:szCs w:val="24"/>
        </w:rPr>
        <w:t xml:space="preserve">	(3)</w:t>
      </w:r>
    </w:p>
    <w:p>
      <w:pPr>
        <w:spacing w:after="0" w:line="480" w:lineRule="auto"/>
        <w:ind w:firstLine="720"/>
        <w:jc w:val="left"/>
      </w:pPr>
      <w:r>
        <w:rPr>
          <w:rFonts w:ascii="Times New Roman" w:cs="Times New Roman" w:eastAsia="Times New Roman" w:hAnsi="Times New Roman"/>
          <w:sz w:val="24"/>
          <w:szCs w:val="24"/>
        </w:rPr>
        <w:t xml:space="preserve">H3 predicts that post-shock coefficients </w:t>
      </w:r>
      <w:r>
        <w:rPr>
          <w:rFonts w:ascii="Times New Roman" w:cs="Times New Roman" w:eastAsia="Times New Roman" w:hAnsi="Times New Roman"/>
          <w:i/>
          <w:iCs/>
          <w:sz w:val="24"/>
          <w:szCs w:val="24"/>
        </w:rPr>
        <w:t xml:space="preserve">δ_k</w:t>
      </w:r>
      <w:r>
        <w:rPr>
          <w:rFonts w:ascii="Times New Roman" w:cs="Times New Roman" w:eastAsia="Times New Roman" w:hAnsi="Times New Roman"/>
          <w:sz w:val="24"/>
          <w:szCs w:val="24"/>
        </w:rPr>
        <w:t xml:space="preserve"> are positive and larger for smaller firms. Pre-shock coefficients provide a test of parallel trends. Interacting </w:t>
      </w:r>
      <w:r>
        <w:rPr>
          <w:rFonts w:ascii="Times New Roman" w:cs="Times New Roman" w:eastAsia="Times New Roman" w:hAnsi="Times New Roman"/>
          <w:i/>
          <w:iCs/>
          <w:sz w:val="24"/>
          <w:szCs w:val="24"/>
        </w:rPr>
        <w:t xml:space="preserve">LangExp_f</w:t>
      </w:r>
      <w:r>
        <w:rPr>
          <w:rFonts w:ascii="Times New Roman" w:cs="Times New Roman" w:eastAsia="Times New Roman" w:hAnsi="Times New Roman"/>
          <w:sz w:val="24"/>
          <w:szCs w:val="24"/>
        </w:rPr>
        <w:t xml:space="preserve"> with time absorbs the effect of language-model capability on text-intensive firms. It does not absorb the effect of multimodal capability on visually intensive firms, which is part of what </w:t>
      </w:r>
      <w:r>
        <w:rPr>
          <w:rFonts w:ascii="Times New Roman" w:cs="Times New Roman" w:eastAsia="Times New Roman" w:hAnsi="Times New Roman"/>
          <w:i/>
          <w:iCs/>
          <w:sz w:val="24"/>
          <w:szCs w:val="24"/>
        </w:rPr>
        <w:t xml:space="preserve">δ_k</w:t>
      </w:r>
      <w:r>
        <w:rPr>
          <w:rFonts w:ascii="Times New Roman" w:cs="Times New Roman" w:eastAsia="Times New Roman" w:hAnsi="Times New Roman"/>
          <w:sz w:val="24"/>
          <w:szCs w:val="24"/>
        </w:rPr>
        <w:t xml:space="preserve"> captures by design. Comparing </w:t>
      </w:r>
      <w:r>
        <w:rPr>
          <w:rFonts w:ascii="Times New Roman" w:cs="Times New Roman" w:eastAsia="Times New Roman" w:hAnsi="Times New Roman"/>
          <w:i/>
          <w:iCs/>
          <w:sz w:val="24"/>
          <w:szCs w:val="24"/>
        </w:rPr>
        <w:t xml:space="preserve">δ_k</w:t>
      </w:r>
      <w:r>
        <w:rPr>
          <w:rFonts w:ascii="Times New Roman" w:cs="Times New Roman" w:eastAsia="Times New Roman" w:hAnsi="Times New Roman"/>
          <w:sz w:val="24"/>
          <w:szCs w:val="24"/>
        </w:rPr>
        <w:t xml:space="preserve"> across the four dates, and between the CV and MM outcomes, shows whether the response comes earlier and for different firms after vision-specific releases or after multimodal LLM releases. If small-firm adoption responds only on the MM outcome after the LLM releases, the break-even scale fell through API access rather than through vision-specific tooling.</w:t>
      </w:r>
    </w:p>
    <w:p>
      <w:pPr>
        <w:pStyle w:val="Heading2"/>
        <w:keepNext/>
        <w:spacing w:after="120" w:before="240" w:line="240" w:lineRule="auto"/>
      </w:pPr>
      <w:r>
        <w:rPr>
          <w:rFonts w:ascii="Times New Roman" w:cs="Times New Roman" w:eastAsia="Times New Roman" w:hAnsi="Times New Roman"/>
          <w:b/>
          <w:bCs/>
          <w:sz w:val="24"/>
          <w:szCs w:val="24"/>
        </w:rPr>
        <w:t xml:space="preserve">5.3 Identification Threats and Robustness</w:t>
      </w:r>
    </w:p>
    <w:p>
      <w:pPr>
        <w:spacing w:after="0" w:line="480" w:lineRule="auto"/>
        <w:ind w:firstLine="720"/>
        <w:jc w:val="left"/>
      </w:pPr>
      <w:r>
        <w:rPr>
          <w:rFonts w:ascii="Times New Roman" w:cs="Times New Roman" w:eastAsia="Times New Roman" w:hAnsi="Times New Roman"/>
          <w:b/>
          <w:bCs/>
          <w:sz w:val="24"/>
          <w:szCs w:val="24"/>
        </w:rPr>
        <w:t xml:space="preserve">Multimodal LLMs as mechanism and confound.</w:t>
      </w:r>
      <w:r>
        <w:rPr>
          <w:rFonts w:ascii="Times New Roman" w:cs="Times New Roman" w:eastAsia="Times New Roman" w:hAnsi="Times New Roman"/>
          <w:sz w:val="24"/>
          <w:szCs w:val="24"/>
        </w:rPr>
        <w:t xml:space="preserve"> The spread of LLMs with image understanding is plausibly a main driver of AI vision adoption after 2023, so we do not treat it as a nuisance shock. Controlling for language-task exposure removes the text channel only. We cannot cleanly separate vision-only models from multimodal LLMs, and we do not claim to; we instead report results by release date and by adoption definition, and compare occupations with similar language exposure but different visual intensity.</w:t>
      </w:r>
    </w:p>
    <w:p>
      <w:pPr>
        <w:spacing w:after="0" w:line="480" w:lineRule="auto"/>
        <w:ind w:firstLine="720"/>
        <w:jc w:val="left"/>
      </w:pPr>
      <w:r>
        <w:rPr>
          <w:rFonts w:ascii="Times New Roman" w:cs="Times New Roman" w:eastAsia="Times New Roman" w:hAnsi="Times New Roman"/>
          <w:b/>
          <w:bCs/>
          <w:sz w:val="24"/>
          <w:szCs w:val="24"/>
        </w:rPr>
        <w:t xml:space="preserve">Adoption measure shifts with the technology.</w:t>
      </w:r>
      <w:r>
        <w:rPr>
          <w:rFonts w:ascii="Times New Roman" w:cs="Times New Roman" w:eastAsia="Times New Roman" w:hAnsi="Times New Roman"/>
          <w:sz w:val="24"/>
          <w:szCs w:val="24"/>
        </w:rPr>
        <w:t xml:space="preserve"> API-based use of a multimodal LLM requires no computer-vision engineer, so CV skill postings can understate adoption after 2023, most for small firms that buy rather than build. This would bias the CV-based test of H3 against finding small-firm adoption. We therefore define a second, API-based adoption measure, report both, and validate each against public disclosures and patents where available. The MM measure is broad: LLM skills do not imply vision use, so it is interpreted only jointly with visual exposure.</w:t>
      </w:r>
    </w:p>
    <w:p>
      <w:pPr>
        <w:spacing w:after="0" w:line="480" w:lineRule="auto"/>
        <w:ind w:firstLine="720"/>
        <w:jc w:val="left"/>
      </w:pPr>
      <w:r>
        <w:rPr>
          <w:rFonts w:ascii="Times New Roman" w:cs="Times New Roman" w:eastAsia="Times New Roman" w:hAnsi="Times New Roman"/>
          <w:b/>
          <w:bCs/>
          <w:sz w:val="24"/>
          <w:szCs w:val="24"/>
        </w:rPr>
        <w:t xml:space="preserve">Postings measure intent, not use.</w:t>
      </w:r>
      <w:r>
        <w:rPr>
          <w:rFonts w:ascii="Times New Roman" w:cs="Times New Roman" w:eastAsia="Times New Roman" w:hAnsi="Times New Roman"/>
          <w:sz w:val="24"/>
          <w:szCs w:val="24"/>
        </w:rPr>
        <w:t xml:space="preserve"> Hiring vision talent may lag or lead deployment, and firms may buy vision systems from vendors without hiring. We validate the adoption measure against vision-related patents and, where available, public disclosures. Vendor-based adoption is not observed in postings and biases estimates toward zero.</w:t>
      </w:r>
    </w:p>
    <w:p>
      <w:pPr>
        <w:spacing w:after="0" w:line="480" w:lineRule="auto"/>
        <w:ind w:firstLine="720"/>
        <w:jc w:val="left"/>
      </w:pPr>
      <w:r>
        <w:rPr>
          <w:rFonts w:ascii="Times New Roman" w:cs="Times New Roman" w:eastAsia="Times New Roman" w:hAnsi="Times New Roman"/>
          <w:b/>
          <w:bCs/>
          <w:sz w:val="24"/>
          <w:szCs w:val="24"/>
        </w:rPr>
        <w:t xml:space="preserve">Coverage bias.</w:t>
      </w:r>
      <w:r>
        <w:rPr>
          <w:rFonts w:ascii="Times New Roman" w:cs="Times New Roman" w:eastAsia="Times New Roman" w:hAnsi="Times New Roman"/>
          <w:sz w:val="24"/>
          <w:szCs w:val="24"/>
        </w:rPr>
        <w:t xml:space="preserve"> Online postings over-represent professional occupations. We reweight to occupational employment shares from the BLS Occupational Employment and Wage Statistics (OES) and report results by industry.</w:t>
      </w:r>
    </w:p>
    <w:p>
      <w:pPr>
        <w:spacing w:after="0" w:line="480" w:lineRule="auto"/>
        <w:ind w:firstLine="720"/>
        <w:jc w:val="left"/>
      </w:pPr>
      <w:r>
        <w:rPr>
          <w:rFonts w:ascii="Times New Roman" w:cs="Times New Roman" w:eastAsia="Times New Roman" w:hAnsi="Times New Roman"/>
          <w:b/>
          <w:bCs/>
          <w:sz w:val="24"/>
          <w:szCs w:val="24"/>
        </w:rPr>
        <w:t xml:space="preserve">Selection into adoption.</w:t>
      </w:r>
      <w:r>
        <w:rPr>
          <w:rFonts w:ascii="Times New Roman" w:cs="Times New Roman" w:eastAsia="Times New Roman" w:hAnsi="Times New Roman"/>
          <w:sz w:val="24"/>
          <w:szCs w:val="24"/>
        </w:rPr>
        <w:t xml:space="preserve"> We use pre-trend tests, matching on pre-period characteristics, and HonestDiD sensitivity bounds (Rambachan and Roth 2023).</w:t>
      </w:r>
    </w:p>
    <w:p>
      <w:pPr>
        <w:spacing w:after="0" w:line="480" w:lineRule="auto"/>
        <w:ind w:firstLine="720"/>
        <w:jc w:val="left"/>
      </w:pPr>
      <w:r>
        <w:rPr>
          <w:rFonts w:ascii="Times New Roman" w:cs="Times New Roman" w:eastAsia="Times New Roman" w:hAnsi="Times New Roman"/>
          <w:b/>
          <w:bCs/>
          <w:sz w:val="24"/>
          <w:szCs w:val="24"/>
        </w:rPr>
        <w:t xml:space="preserve">Measurement of visual intensity.</w:t>
      </w:r>
      <w:r>
        <w:rPr>
          <w:rFonts w:ascii="Times New Roman" w:cs="Times New Roman" w:eastAsia="Times New Roman" w:hAnsi="Times New Roman"/>
          <w:sz w:val="24"/>
          <w:szCs w:val="24"/>
        </w:rPr>
        <w:t xml:space="preserve"> Results are reported for the primary O*NET Abilities measure and for the secondary LLM-based task share. We report inter-rater agreement once a second human coder is available and show robustness to alternative exposure measures (for example, Webb 2020; Felten et al. 2021).</w:t>
      </w:r>
    </w:p>
    <w:p>
      <w:pPr>
        <w:pStyle w:val="Heading1"/>
        <w:keepNext/>
        <w:spacing w:after="120" w:before="360" w:line="240" w:lineRule="auto"/>
      </w:pPr>
      <w:r>
        <w:rPr>
          <w:rFonts w:ascii="Times New Roman" w:cs="Times New Roman" w:eastAsia="Times New Roman" w:hAnsi="Times New Roman"/>
          <w:b/>
          <w:bCs/>
          <w:caps/>
          <w:sz w:val="24"/>
          <w:szCs w:val="24"/>
        </w:rPr>
        <w:t xml:space="preserve">6. Pre-Specified Analyses and Results</w:t>
      </w:r>
    </w:p>
    <w:p>
      <w:pPr>
        <w:spacing w:after="0" w:line="480" w:lineRule="auto"/>
        <w:ind w:firstLine="720"/>
        <w:jc w:val="left"/>
      </w:pPr>
      <w:r>
        <w:rPr>
          <w:rFonts w:ascii="Times New Roman" w:cs="Times New Roman" w:eastAsia="Times New Roman" w:hAnsi="Times New Roman"/>
          <w:sz w:val="24"/>
          <w:szCs w:val="24"/>
        </w:rPr>
        <w:t xml:space="preserve">No estimation has been conducted. This section fixes the tables and figures that will report the tests of H1–H4 and states in advance how each hypothesis will be judged, so that the analysis is committed to before outcomes are seen. All cells are placeholders.</w:t>
      </w:r>
    </w:p>
    <w:p>
      <w:pPr>
        <w:pStyle w:val="Heading2"/>
        <w:keepNext/>
        <w:spacing w:after="120" w:before="240" w:line="240" w:lineRule="auto"/>
      </w:pPr>
      <w:r>
        <w:rPr>
          <w:rFonts w:ascii="Times New Roman" w:cs="Times New Roman" w:eastAsia="Times New Roman" w:hAnsi="Times New Roman"/>
          <w:b/>
          <w:bCs/>
          <w:sz w:val="24"/>
          <w:szCs w:val="24"/>
        </w:rPr>
        <w:t xml:space="preserve">6.1 Descriptive Statistics and Measurement Validation</w:t>
      </w:r>
    </w:p>
    <w:p>
      <w:pPr>
        <w:spacing w:after="0" w:line="480" w:lineRule="auto"/>
        <w:ind w:firstLine="720"/>
        <w:jc w:val="left"/>
      </w:pPr>
      <w:r>
        <w:rPr>
          <w:rFonts w:ascii="Times New Roman" w:cs="Times New Roman" w:eastAsia="Times New Roman" w:hAnsi="Times New Roman"/>
          <w:sz w:val="24"/>
          <w:szCs w:val="24"/>
        </w:rPr>
        <w:t xml:space="preserve">We will report sample construction (employers, postings, firm-quarters), the distribution of adoption quarters, and summary statistics for visual intensity, </w:t>
      </w:r>
      <w:r>
        <w:rPr>
          <w:rFonts w:ascii="Times New Roman" w:cs="Times New Roman" w:eastAsia="Times New Roman" w:hAnsi="Times New Roman"/>
          <w:i/>
          <w:iCs/>
          <w:sz w:val="24"/>
          <w:szCs w:val="24"/>
        </w:rPr>
        <w:t xml:space="preserve">VisExp</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LangExp</w:t>
      </w:r>
      <w:r>
        <w:rPr>
          <w:rFonts w:ascii="Times New Roman" w:cs="Times New Roman" w:eastAsia="Times New Roman" w:hAnsi="Times New Roman"/>
          <w:sz w:val="24"/>
          <w:szCs w:val="24"/>
        </w:rPr>
        <w:t xml:space="preserve">. Validation of the visual-intensity measure is reported in Section 4.3; the correlation of the adoption measure with vision-related patenting remains to be reported.</w:t>
      </w:r>
    </w:p>
    <w:p>
      <w:pPr>
        <w:keepNext/>
        <w:spacing w:after="80" w:before="240" w:line="240" w:lineRule="auto"/>
        <w:jc w:val="center"/>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Summary statistics [TO BE COMPLETED AFTER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cantSplit/>
          <w:tblHeader/>
        </w:trPr>
        <w:tc>
          <w:tcPr>
            <w:tcW w:type="dxa" w:w="3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Variable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Mean</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SD</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P25</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P75</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Log postings, high-visual-intensity occupations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Share of postings requiring judgment/monitoring/integration skills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 visual exposure (VisExp)</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 language exposure (LangExp)</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Pre-period task scale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bl>
    <w:p>
      <w:pPr>
        <w:spacing w:line="240" w:lineRule="auto"/>
      </w:pPr>
      <w:r>
        <w:rPr>
          <w:rFonts w:ascii="Times New Roman" w:cs="Times New Roman" w:eastAsia="Times New Roman" w:hAnsi="Times New Roman"/>
        </w:rPr>
        <w:t xml:space="preserve"/>
      </w:r>
    </w:p>
    <w:p>
      <w:pPr>
        <w:pStyle w:val="Heading2"/>
        <w:keepNext/>
        <w:spacing w:after="120" w:before="240" w:line="240" w:lineRule="auto"/>
      </w:pPr>
      <w:r>
        <w:rPr>
          <w:rFonts w:ascii="Times New Roman" w:cs="Times New Roman" w:eastAsia="Times New Roman" w:hAnsi="Times New Roman"/>
          <w:b/>
          <w:bCs/>
          <w:sz w:val="24"/>
          <w:szCs w:val="24"/>
        </w:rPr>
        <w:t xml:space="preserve">6.2 Effects of Adoption on Vision-Intensive Demand and Complements (H1, H2, H4)</w:t>
      </w:r>
    </w:p>
    <w:p>
      <w:pPr>
        <w:spacing w:after="0" w:line="480" w:lineRule="auto"/>
        <w:ind w:firstLine="720"/>
        <w:jc w:val="left"/>
      </w:pPr>
      <w:r>
        <w:rPr>
          <w:rFonts w:ascii="Times New Roman" w:cs="Times New Roman" w:eastAsia="Times New Roman" w:hAnsi="Times New Roman"/>
          <w:sz w:val="24"/>
          <w:szCs w:val="24"/>
        </w:rPr>
        <w:t xml:space="preserve">We will estimate equation (2) with the Callaway and Sant’Anna (2021) estimator and report the aggregate average treatment effect on the treated and event-time coefficients. H1 is supported if post-adoption effects on postings in high-visual-intensity occupations are negative and statistically distinguishable from zero with flat pre-trends. H2 is supported if effects are monotonically larger in magnitude across terciles of task scale and a test of equality across terciles rejects. H4 is supported if the share of postings requiring judgment, monitoring, or integration skills rises after adoption.</w:t>
      </w:r>
    </w:p>
    <w:p>
      <w:pPr>
        <w:keepNext/>
        <w:spacing w:after="80" w:before="240" w:line="240" w:lineRule="auto"/>
        <w:jc w:val="center"/>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Staggered difference-in-differences estimates of adoption [TO BE COMPLETED AFTER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cantSplit/>
          <w:tblHeader/>
        </w:trPr>
        <w:tc>
          <w:tcPr>
            <w:tcW w:type="dxa" w:w="3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Outcome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ATT (all)</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Low scale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Mid scale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High scale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Log postings, high-visual-intensity occupations (H1, H2)</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Posting share, high-visual-intensity occupations (H1, H2)</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Share requiring judgment skills (H4)</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Share requiring monitoring skills (H4)</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Share requiring systems-integration skills (H4)</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Posted wages (where available)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Cells to be populated with point estimates and clustered standard errors. Controls: firm and industry-by-quarter fixed effects; not-yet-treated comparison group.</w:t>
      </w:r>
    </w:p>
    <w:p>
      <w:pPr>
        <w:pStyle w:val="Heading2"/>
        <w:keepNext/>
        <w:spacing w:after="120" w:before="240" w:line="240" w:lineRule="auto"/>
      </w:pPr>
      <w:r>
        <w:rPr>
          <w:rFonts w:ascii="Times New Roman" w:cs="Times New Roman" w:eastAsia="Times New Roman" w:hAnsi="Times New Roman"/>
          <w:b/>
          <w:bCs/>
          <w:sz w:val="24"/>
          <w:szCs w:val="24"/>
        </w:rPr>
        <w:t xml:space="preserve">6.3 Foundation Models and the Break-Even Scale (H3)</w:t>
      </w:r>
    </w:p>
    <w:p>
      <w:pPr>
        <w:spacing w:after="0" w:line="480" w:lineRule="auto"/>
        <w:ind w:firstLine="720"/>
        <w:jc w:val="left"/>
      </w:pPr>
      <w:r>
        <w:rPr>
          <w:rFonts w:ascii="Times New Roman" w:cs="Times New Roman" w:eastAsia="Times New Roman" w:hAnsi="Times New Roman"/>
          <w:sz w:val="24"/>
          <w:szCs w:val="24"/>
        </w:rPr>
        <w:t xml:space="preserve">We will estimate equation (3) separately by firm size class, for each of the four release dates and for both adoption definitions, and plot </w:t>
      </w:r>
      <w:r>
        <w:rPr>
          <w:rFonts w:ascii="Times New Roman" w:cs="Times New Roman" w:eastAsia="Times New Roman" w:hAnsi="Times New Roman"/>
          <w:i/>
          <w:iCs/>
          <w:sz w:val="24"/>
          <w:szCs w:val="24"/>
        </w:rPr>
        <w:t xml:space="preserve">δ_k</w:t>
      </w:r>
      <w:r>
        <w:rPr>
          <w:rFonts w:ascii="Times New Roman" w:cs="Times New Roman" w:eastAsia="Times New Roman" w:hAnsi="Times New Roman"/>
          <w:sz w:val="24"/>
          <w:szCs w:val="24"/>
        </w:rPr>
        <w:t xml:space="preserve"> with confidence intervals. H3 is supported if pre-shock coefficients are statistically indistinguishable from zero and post-shock coefficients are positive and larger for smaller size classes for at least the multimodal LLM releases on the MM outcome. We will report which date and adoption definition drives any effect, and will not describe a result as specific to vision-only models unless it holds for the vision-specific dates on the CV outcome.</w:t>
      </w:r>
    </w:p>
    <w:p>
      <w:pPr>
        <w:keepNext/>
        <w:spacing w:after="80" w:before="240" w:line="240" w:lineRule="auto"/>
        <w:jc w:val="center"/>
      </w:pPr>
      <w:r>
        <w:rPr>
          <w:rFonts w:ascii="Times New Roman" w:cs="Times New Roman" w:eastAsia="Times New Roman" w:hAnsi="Times New Roman"/>
          <w:b/>
          <w:bCs/>
          <w:sz w:val="22"/>
          <w:szCs w:val="22"/>
        </w:rPr>
        <w:t xml:space="preserve">Table 5.</w:t>
      </w:r>
      <w:r>
        <w:rPr>
          <w:rFonts w:ascii="Times New Roman" w:cs="Times New Roman" w:eastAsia="Times New Roman" w:hAnsi="Times New Roman"/>
          <w:sz w:val="22"/>
          <w:szCs w:val="22"/>
        </w:rPr>
        <w:t xml:space="preserve"> Event-study estimates around foundation-model release [TO BE COMPLETED AFTER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cantSplit/>
          <w:tblHeader/>
        </w:trPr>
        <w:tc>
          <w:tcPr>
            <w:tcW w:type="dxa" w:w="3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Firm size class</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Pre-shock joint test (p)</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Mean post δ, CV adoption (by date)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Mean post δ, MM adoption (by date)</w:t>
            </w:r>
          </w:p>
        </w:tc>
        <w:tc>
          <w:tcPr>
            <w:tcW w:type="dxa" w:w="15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N firms</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Small</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Medium</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r>
        <w:trPr>
          <w:cantSplit/>
          <w:tblHeader w:val="false"/>
        </w:trPr>
        <w:tc>
          <w:tcPr>
            <w:tcW w:type="dxa" w:w="3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Large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w:t>
            </w:r>
          </w:p>
        </w:tc>
      </w:tr>
    </w:tbl>
    <w:p>
      <w:pPr>
        <w:spacing w:line="240" w:lineRule="auto"/>
      </w:pPr>
      <w:r>
        <w:rPr>
          <w:rFonts w:ascii="Times New Roman" w:cs="Times New Roman" w:eastAsia="Times New Roman" w:hAnsi="Times New Roman"/>
        </w:rPr>
        <w:t xml:space="preserve"/>
      </w:r>
    </w:p>
    <w:p>
      <w:pPr>
        <w:pStyle w:val="Heading2"/>
        <w:keepNext/>
        <w:spacing w:after="120" w:before="240" w:line="240" w:lineRule="auto"/>
      </w:pPr>
      <w:r>
        <w:rPr>
          <w:rFonts w:ascii="Times New Roman" w:cs="Times New Roman" w:eastAsia="Times New Roman" w:hAnsi="Times New Roman"/>
          <w:b/>
          <w:bCs/>
          <w:sz w:val="24"/>
          <w:szCs w:val="24"/>
        </w:rPr>
        <w:t xml:space="preserve">6.4 Robustness</w:t>
      </w:r>
    </w:p>
    <w:p>
      <w:pPr>
        <w:spacing w:after="0" w:line="480" w:lineRule="auto"/>
        <w:ind w:firstLine="720"/>
        <w:jc w:val="left"/>
      </w:pPr>
      <w:r>
        <w:rPr>
          <w:rFonts w:ascii="Times New Roman" w:cs="Times New Roman" w:eastAsia="Times New Roman" w:hAnsi="Times New Roman"/>
          <w:sz w:val="24"/>
          <w:szCs w:val="24"/>
        </w:rPr>
        <w:t xml:space="preserve">We will report: alternative adoption thresholds and skill lists; HonestDiD bounds on post-treatment effects; matched-sample estimates; BLS OES reweighting; results by industry; comparison of occupations with similar language exposure but different visual intensity; and alternative exposure measures (Webb 2020; Felten et al. 2021). Support for a hypothesis will require that the sign of the main estimate survive the HonestDiD bounds at a stated degree of parallel-trend violation.</w:t>
      </w:r>
    </w:p>
    <w:p>
      <w:pPr>
        <w:pStyle w:val="Heading1"/>
        <w:keepNext/>
        <w:spacing w:after="120" w:before="360" w:line="240" w:lineRule="auto"/>
      </w:pPr>
      <w:r>
        <w:rPr>
          <w:rFonts w:ascii="Times New Roman" w:cs="Times New Roman" w:eastAsia="Times New Roman" w:hAnsi="Times New Roman"/>
          <w:b/>
          <w:bCs/>
          <w:caps/>
          <w:sz w:val="24"/>
          <w:szCs w:val="24"/>
        </w:rPr>
        <w:t xml:space="preserve">7. Discussion</w:t>
      </w:r>
    </w:p>
    <w:p>
      <w:pPr>
        <w:pStyle w:val="Heading2"/>
        <w:keepNext/>
        <w:spacing w:after="120" w:before="240" w:line="240" w:lineRule="auto"/>
      </w:pPr>
      <w:r>
        <w:rPr>
          <w:rFonts w:ascii="Times New Roman" w:cs="Times New Roman" w:eastAsia="Times New Roman" w:hAnsi="Times New Roman"/>
          <w:b/>
          <w:bCs/>
          <w:sz w:val="24"/>
          <w:szCs w:val="24"/>
        </w:rPr>
        <w:t xml:space="preserve">7.1 Contributions</w:t>
      </w:r>
    </w:p>
    <w:p>
      <w:pPr>
        <w:spacing w:after="0" w:line="480" w:lineRule="auto"/>
        <w:ind w:firstLine="720"/>
        <w:jc w:val="left"/>
      </w:pPr>
      <w:r>
        <w:rPr>
          <w:rFonts w:ascii="Times New Roman" w:cs="Times New Roman" w:eastAsia="Times New Roman" w:hAnsi="Times New Roman"/>
          <w:sz w:val="24"/>
          <w:szCs w:val="24"/>
        </w:rPr>
        <w:t xml:space="preserve">The study is designed to make three contributions. By testing a break-even prediction with observed adoption, it shifts evidence on AI and work from what the technology can do to what firms find worthwhile to automate. By tracing which skills rise alongside vision adoption, it informs the IT business value literature on the complementary assets through which AI creates value. By comparing adoption before and after successive multimodal foundation-model releases across firm sizes, it provides evidence on how a platform-like AI layer redistributes access to AI capabilities. Which of these contributions is realized depends on the estimates, and the discussion will be written accordingly once results are available.</w:t>
      </w:r>
    </w:p>
    <w:p>
      <w:pPr>
        <w:pStyle w:val="Heading2"/>
        <w:keepNext/>
        <w:spacing w:after="120" w:before="240" w:line="240" w:lineRule="auto"/>
      </w:pPr>
      <w:r>
        <w:rPr>
          <w:rFonts w:ascii="Times New Roman" w:cs="Times New Roman" w:eastAsia="Times New Roman" w:hAnsi="Times New Roman"/>
          <w:b/>
          <w:bCs/>
          <w:sz w:val="24"/>
          <w:szCs w:val="24"/>
        </w:rPr>
        <w:t xml:space="preserve">7.2 Implications</w:t>
      </w:r>
    </w:p>
    <w:p>
      <w:pPr>
        <w:spacing w:after="0" w:line="480" w:lineRule="auto"/>
        <w:ind w:firstLine="720"/>
        <w:jc w:val="left"/>
      </w:pPr>
      <w:r>
        <w:rPr>
          <w:rFonts w:ascii="Times New Roman" w:cs="Times New Roman" w:eastAsia="Times New Roman" w:hAnsi="Times New Roman"/>
          <w:sz w:val="24"/>
          <w:szCs w:val="24"/>
        </w:rPr>
        <w:t xml:space="preserve">If H3 holds, policy and managerial attention to AI and work should shift from whether a technology can perform a task to who bears its fixed cost and how that cost is shared; displacement risk would then rise for smaller employers as platforms lower the threshold. If H2 holds but H3 does not, labor effects of vision remain concentrated in large, high-volume employers regardless of model availability. If H4 holds, managers should expect adoption to shift hiring toward judgment, monitoring, and integration skills.</w:t>
      </w:r>
    </w:p>
    <w:p>
      <w:pPr>
        <w:pStyle w:val="Heading2"/>
        <w:keepNext/>
        <w:spacing w:after="120" w:before="240" w:line="240" w:lineRule="auto"/>
      </w:pPr>
      <w:r>
        <w:rPr>
          <w:rFonts w:ascii="Times New Roman" w:cs="Times New Roman" w:eastAsia="Times New Roman" w:hAnsi="Times New Roman"/>
          <w:b/>
          <w:bCs/>
          <w:sz w:val="24"/>
          <w:szCs w:val="24"/>
        </w:rPr>
        <w:t xml:space="preserve">7.3 Limitations</w:t>
      </w:r>
    </w:p>
    <w:p>
      <w:pPr>
        <w:spacing w:after="0" w:line="480" w:lineRule="auto"/>
        <w:ind w:firstLine="720"/>
        <w:jc w:val="left"/>
      </w:pPr>
      <w:r>
        <w:rPr>
          <w:rFonts w:ascii="Times New Roman" w:cs="Times New Roman" w:eastAsia="Times New Roman" w:hAnsi="Times New Roman"/>
          <w:sz w:val="24"/>
          <w:szCs w:val="24"/>
        </w:rPr>
        <w:t xml:space="preserve">Postings measure hiring intent rather than deployment, and vendor-supplied and API-based systems are only partly visible to our adoption measures, which biases estimates toward zero and, for the CV measure, understates adoption by small firms after multimodal LLMs arrived. We cannot separate the effect of vision-only models from that of multimodal LLMs, and the MM measure is a broad proxy that does not by itself indicate vision use. Postings over-represent professional occupations despite reweighting. The adoption event is a choice, so staggered difference-in-differences identifies causal effects only under parallel-trend assumptions that we probe but cannot prove; the foundation-model shock is common to all firms and relies on cross-sectional variation in exposure. The primary visual-intensity measure is a composite of analyst ratings of visual abilities. It captures how much an occupation requires vision, not whether the visual tasks can be automated, and its correlation with human task ratings is moderate (Section 4.3). The secondary LLM-based classification depends on prompt and model choices and agreed only weakly with a single human coder. Finally, the break-even model is a stylized single-task model, and multi-task bundling of automation costs is left for future work.</w:t>
      </w:r>
    </w:p>
    <w:p>
      <w:pPr>
        <w:pStyle w:val="Heading1"/>
        <w:keepNext/>
        <w:spacing w:after="120" w:before="360" w:line="240" w:lineRule="auto"/>
      </w:pPr>
      <w:r>
        <w:rPr>
          <w:rFonts w:ascii="Times New Roman" w:cs="Times New Roman" w:eastAsia="Times New Roman" w:hAnsi="Times New Roman"/>
          <w:b/>
          <w:bCs/>
          <w:caps/>
          <w:sz w:val="24"/>
          <w:szCs w:val="24"/>
        </w:rPr>
        <w:t xml:space="preserve">8. Conclusion</w:t>
      </w:r>
    </w:p>
    <w:p>
      <w:pPr>
        <w:spacing w:after="0" w:line="480" w:lineRule="auto"/>
        <w:ind w:firstLine="720"/>
        <w:jc w:val="left"/>
      </w:pPr>
      <w:r>
        <w:rPr>
          <w:rFonts w:ascii="Times New Roman" w:cs="Times New Roman" w:eastAsia="Times New Roman" w:hAnsi="Times New Roman"/>
          <w:sz w:val="24"/>
          <w:szCs w:val="24"/>
        </w:rPr>
        <w:t xml:space="preserve">Exposure shows what AI could do; fixed costs determine what firms do. By modeling vision automation as a break-even problem and testing it in firm-level hiring data around the arrival of multimodal foundation models, including multimodal LLMs, this paper aims to show whether the diffusion of AI vision is governed by scale economics, and whether platform-like AI infrastructure lowers the scale at which adoption pays.</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References</w:t>
      </w:r>
    </w:p>
    <w:p>
      <w:pPr>
        <w:spacing w:after="120" w:line="240" w:lineRule="auto"/>
        <w:ind w:left="720" w:hanging="720"/>
      </w:pPr>
      <w:r>
        <w:rPr>
          <w:rFonts w:ascii="Times New Roman" w:cs="Times New Roman" w:eastAsia="Times New Roman" w:hAnsi="Times New Roman"/>
          <w:sz w:val="24"/>
          <w:szCs w:val="24"/>
        </w:rPr>
        <w:t xml:space="preserve">Acemoglu, D., Autor, D., Hazell, J., and Restrepo, P. 2022. Artificial intelligence and jobs: Evidence from online vacancies. </w:t>
      </w:r>
      <w:r>
        <w:rPr>
          <w:rFonts w:ascii="Times New Roman" w:cs="Times New Roman" w:eastAsia="Times New Roman" w:hAnsi="Times New Roman"/>
          <w:i/>
          <w:iCs/>
          <w:sz w:val="24"/>
          <w:szCs w:val="24"/>
        </w:rPr>
        <w:t xml:space="preserve">Journal of Labor Economics</w:t>
      </w:r>
      <w:r>
        <w:rPr>
          <w:rFonts w:ascii="Times New Roman" w:cs="Times New Roman" w:eastAsia="Times New Roman" w:hAnsi="Times New Roman"/>
          <w:sz w:val="24"/>
          <w:szCs w:val="24"/>
        </w:rPr>
        <w:t xml:space="preserve"> 40(S1):S293–S340.†</w:t>
      </w:r>
    </w:p>
    <w:p>
      <w:pPr>
        <w:spacing w:after="120" w:line="240" w:lineRule="auto"/>
        <w:ind w:left="720" w:hanging="720"/>
      </w:pPr>
      <w:r>
        <w:rPr>
          <w:rFonts w:ascii="Times New Roman" w:cs="Times New Roman" w:eastAsia="Times New Roman" w:hAnsi="Times New Roman"/>
          <w:sz w:val="24"/>
          <w:szCs w:val="24"/>
        </w:rPr>
        <w:t xml:space="preserve">Agrawal, A., Gans, J., and Goldfarb, A. 2018. </w:t>
      </w:r>
      <w:r>
        <w:rPr>
          <w:rFonts w:ascii="Times New Roman" w:cs="Times New Roman" w:eastAsia="Times New Roman" w:hAnsi="Times New Roman"/>
          <w:i/>
          <w:iCs/>
          <w:sz w:val="24"/>
          <w:szCs w:val="24"/>
        </w:rPr>
        <w:t xml:space="preserve">Prediction Machines: The Simple Economics of Artificial Intelligence</w:t>
      </w:r>
      <w:r>
        <w:rPr>
          <w:rFonts w:ascii="Times New Roman" w:cs="Times New Roman" w:eastAsia="Times New Roman" w:hAnsi="Times New Roman"/>
          <w:sz w:val="24"/>
          <w:szCs w:val="24"/>
        </w:rPr>
        <w:t xml:space="preserve">. Boston: Harvard Business Review Press.†</w:t>
      </w:r>
    </w:p>
    <w:p>
      <w:pPr>
        <w:spacing w:after="120" w:line="240" w:lineRule="auto"/>
        <w:ind w:left="720" w:hanging="720"/>
      </w:pPr>
      <w:r>
        <w:rPr>
          <w:rFonts w:ascii="Times New Roman" w:cs="Times New Roman" w:eastAsia="Times New Roman" w:hAnsi="Times New Roman"/>
          <w:sz w:val="24"/>
          <w:szCs w:val="24"/>
        </w:rPr>
        <w:t xml:space="preserve">Callaway, B., and Sant’Anna, P. H. C. 2021. Difference-in-differences with multiple time periods. </w:t>
      </w:r>
      <w:r>
        <w:rPr>
          <w:rFonts w:ascii="Times New Roman" w:cs="Times New Roman" w:eastAsia="Times New Roman" w:hAnsi="Times New Roman"/>
          <w:i/>
          <w:iCs/>
          <w:sz w:val="24"/>
          <w:szCs w:val="24"/>
        </w:rPr>
        <w:t xml:space="preserve">Journal of Econometrics</w:t>
      </w:r>
      <w:r>
        <w:rPr>
          <w:rFonts w:ascii="Times New Roman" w:cs="Times New Roman" w:eastAsia="Times New Roman" w:hAnsi="Times New Roman"/>
          <w:sz w:val="24"/>
          <w:szCs w:val="24"/>
        </w:rPr>
        <w:t xml:space="preserve"> 225(2):200–230.†</w:t>
      </w:r>
    </w:p>
    <w:p>
      <w:pPr>
        <w:spacing w:after="120" w:line="240" w:lineRule="auto"/>
        <w:ind w:left="720" w:hanging="720"/>
      </w:pPr>
      <w:r>
        <w:rPr>
          <w:rFonts w:ascii="Times New Roman" w:cs="Times New Roman" w:eastAsia="Times New Roman" w:hAnsi="Times New Roman"/>
          <w:sz w:val="24"/>
          <w:szCs w:val="24"/>
        </w:rPr>
        <w:t xml:space="preserve">Eloundou, T., Manning, S., Mishkin, P., and Rock, D. 2023. GPTs are GPTs: An early look at the labor market impact potential of large language models. arXiv:2303.10130.†</w:t>
      </w:r>
    </w:p>
    <w:p>
      <w:pPr>
        <w:spacing w:after="120" w:line="240" w:lineRule="auto"/>
        <w:ind w:left="720" w:hanging="720"/>
      </w:pPr>
      <w:r>
        <w:rPr>
          <w:rFonts w:ascii="Times New Roman" w:cs="Times New Roman" w:eastAsia="Times New Roman" w:hAnsi="Times New Roman"/>
          <w:sz w:val="24"/>
          <w:szCs w:val="24"/>
        </w:rPr>
        <w:t xml:space="preserve">Felten, E., Raj, M., and Seamans, R. 2021. Occupational, industry, and geographic exposure to artificial intelligence. </w:t>
      </w:r>
      <w:r>
        <w:rPr>
          <w:rFonts w:ascii="Times New Roman" w:cs="Times New Roman" w:eastAsia="Times New Roman" w:hAnsi="Times New Roman"/>
          <w:i/>
          <w:iCs/>
          <w:sz w:val="24"/>
          <w:szCs w:val="24"/>
        </w:rPr>
        <w:t xml:space="preserve">Strategic Management Journal</w:t>
      </w:r>
      <w:r>
        <w:rPr>
          <w:rFonts w:ascii="Times New Roman" w:cs="Times New Roman" w:eastAsia="Times New Roman" w:hAnsi="Times New Roman"/>
          <w:sz w:val="24"/>
          <w:szCs w:val="24"/>
        </w:rPr>
        <w:t xml:space="preserve"> 42(12):2195–2217.†</w:t>
      </w:r>
    </w:p>
    <w:p>
      <w:pPr>
        <w:spacing w:after="120" w:line="240" w:lineRule="auto"/>
        <w:ind w:left="720" w:hanging="720"/>
      </w:pPr>
      <w:r>
        <w:rPr>
          <w:rFonts w:ascii="Times New Roman" w:cs="Times New Roman" w:eastAsia="Times New Roman" w:hAnsi="Times New Roman"/>
          <w:sz w:val="24"/>
          <w:szCs w:val="24"/>
        </w:rPr>
        <w:t xml:space="preserve">Rambachan, A., and Roth, J. 2023. A more credible approach to parallel trends. </w:t>
      </w:r>
      <w:r>
        <w:rPr>
          <w:rFonts w:ascii="Times New Roman" w:cs="Times New Roman" w:eastAsia="Times New Roman" w:hAnsi="Times New Roman"/>
          <w:i/>
          <w:iCs/>
          <w:sz w:val="24"/>
          <w:szCs w:val="24"/>
        </w:rPr>
        <w:t xml:space="preserve">Review of Economic Studies</w:t>
      </w:r>
      <w:r>
        <w:rPr>
          <w:rFonts w:ascii="Times New Roman" w:cs="Times New Roman" w:eastAsia="Times New Roman" w:hAnsi="Times New Roman"/>
          <w:sz w:val="24"/>
          <w:szCs w:val="24"/>
        </w:rPr>
        <w:t xml:space="preserve"> 90(5):2555–2591.†</w:t>
      </w:r>
    </w:p>
    <w:p>
      <w:pPr>
        <w:spacing w:after="120" w:line="240" w:lineRule="auto"/>
        <w:ind w:left="720" w:hanging="720"/>
      </w:pPr>
      <w:r>
        <w:rPr>
          <w:rFonts w:ascii="Times New Roman" w:cs="Times New Roman" w:eastAsia="Times New Roman" w:hAnsi="Times New Roman"/>
          <w:sz w:val="24"/>
          <w:szCs w:val="24"/>
        </w:rPr>
        <w:t xml:space="preserve">Svanberg, M., Li, W., Fleming, M., Goehring, B., and Thompson, N. 2024. Beyond AI exposure: Which tasks are cost-effective to automate with computer vision? MIT FutureTech working paper, SSRN.</w:t>
      </w:r>
    </w:p>
    <w:p>
      <w:pPr>
        <w:spacing w:after="120" w:line="240" w:lineRule="auto"/>
        <w:ind w:left="720" w:hanging="720"/>
      </w:pPr>
      <w:r>
        <w:rPr>
          <w:rFonts w:ascii="Times New Roman" w:cs="Times New Roman" w:eastAsia="Times New Roman" w:hAnsi="Times New Roman"/>
          <w:sz w:val="24"/>
          <w:szCs w:val="24"/>
        </w:rPr>
        <w:t xml:space="preserve">Webb, M. 2020. The impact of artificial intelligence on the labor market. Working paper, Stanford University.†</w:t>
      </w:r>
    </w:p>
    <w:p>
      <w:pPr>
        <w:spacing w:before="200" w:line="240" w:lineRule="auto"/>
      </w:pPr>
      <w:r>
        <w:rPr>
          <w:rFonts w:ascii="Times New Roman" w:cs="Times New Roman" w:eastAsia="Times New Roman" w:hAnsi="Times New Roman"/>
          <w:sz w:val="20"/>
          <w:szCs w:val="20"/>
        </w:rPr>
        <w:t xml:space="preserve">† Details taken from the research proposal without independent verification; to be checked before submission. Lightcast skill names must be checked against the current Lightcast Open Skills taxonomy.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2026-10-04T05:09:27.635Z</dcterms:created>
  <dcterms:modified xsi:type="dcterms:W3CDTF">2026-10-04T05:09:27.636Z</dcterms:modified>
</cp:coreProperties>
</file>

<file path=docProps/custom.xml><?xml version="1.0" encoding="utf-8"?>
<Properties xmlns="http://schemas.openxmlformats.org/officeDocument/2006/custom-properties" xmlns:vt="http://schemas.openxmlformats.org/officeDocument/2006/docPropsVTypes"/>
</file>