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Three larger commercial models (Sonnet 5.5, Opus 5.5, and Fable 5.1) did not skip in any of their first choices (4,320, 4,320, and 1,440).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three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(3 turns left only),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 (1,440 for Fable 5.1)</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 Fable 5.1 was run at three turns left only (1,440 first choices), the condition in which Haiku 4.5 skips, because its cost per call is about three times that of Opus 5.5.</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Fable 5.1 was run at three turns left only.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1,440 first choices at three turns left.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and chose narrow_patch in 96.0% and wide_patch in 4.0% of first choices. Because the contrast cannot be estimated, these models neither support nor contradict a frame effect; this environment elicited no skipping from them under any of the 48 sentences (for Fable 5.1, at three turns left).</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Fable 5.1 was run at three turns left only,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598deb1714e68feadd25477f20bb9c871f24a0c.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2026-10-01T11:19:05.483Z</dcterms:created>
  <dcterms:modified xsi:type="dcterms:W3CDTF">2026-10-01T11:19:05.484Z</dcterms:modified>
</cp:coreProperties>
</file>

<file path=docProps/custom.xml><?xml version="1.0" encoding="utf-8"?>
<Properties xmlns="http://schemas.openxmlformats.org/officeDocument/2006/custom-properties" xmlns:vt="http://schemas.openxmlformats.org/officeDocument/2006/docPropsVTypes"/>
</file>