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Sets</w:t>
      </w:r>
      <w:r>
        <w:t xml:space="preserve"> </w:t>
      </w:r>
      <w:r>
        <w:t xml:space="preserve">the</w:t>
      </w:r>
      <w:r>
        <w:t xml:space="preserve"> </w:t>
      </w:r>
      <w:r>
        <w:t xml:space="preserve">Clock?</w:t>
      </w:r>
      <w:r>
        <w:t xml:space="preserve"> </w:t>
      </w:r>
      <w:r>
        <w:t xml:space="preserve">Release</w:t>
      </w:r>
      <w:r>
        <w:t xml:space="preserve"> </w:t>
      </w:r>
      <w:r>
        <w:t xml:space="preserve">Cadence,</w:t>
      </w:r>
      <w:r>
        <w:t xml:space="preserve"> </w:t>
      </w:r>
      <w:r>
        <w:t xml:space="preserve">Compatibility</w:t>
      </w:r>
      <w:r>
        <w:t xml:space="preserve"> </w:t>
      </w:r>
      <w:r>
        <w:t xml:space="preserve">Tools,</w:t>
      </w:r>
      <w:r>
        <w:t xml:space="preserve"> </w:t>
      </w:r>
      <w:r>
        <w:t xml:space="preserve">and</w:t>
      </w:r>
      <w:r>
        <w:t xml:space="preserve"> </w:t>
      </w:r>
      <w:r>
        <w:t xml:space="preserve">the</w:t>
      </w:r>
      <w:r>
        <w:t xml:space="preserve"> </w:t>
      </w:r>
      <w:r>
        <w:t xml:space="preserve">Maintenance</w:t>
      </w:r>
      <w:r>
        <w:t xml:space="preserve"> </w:t>
      </w:r>
      <w:r>
        <w:t xml:space="preserve">of</w:t>
      </w:r>
      <w:r>
        <w:t xml:space="preserve"> </w:t>
      </w:r>
      <w:r>
        <w:t xml:space="preserve">Complementary</w:t>
      </w:r>
      <w:r>
        <w:t xml:space="preserve"> </w:t>
      </w:r>
      <w:r>
        <w:t xml:space="preserve">Assets</w:t>
      </w:r>
      <w:r>
        <w:t xml:space="preserve"> </w:t>
      </w:r>
      <w:r>
        <w:t xml:space="preserve">on</w:t>
      </w:r>
      <w:r>
        <w:t xml:space="preserve"> </w:t>
      </w:r>
      <w:r>
        <w:t xml:space="preserve">Foundation-Model</w:t>
      </w:r>
      <w:r>
        <w:t xml:space="preserve"> </w:t>
      </w:r>
      <w:r>
        <w:t xml:space="preserve">Platforms</w:t>
      </w:r>
    </w:p>
    <w:p>
      <w:pPr>
        <w:pStyle w:val="FirstParagraph"/>
      </w:pPr>
      <w:r>
        <w:rPr>
          <w:bCs/>
          <w:b/>
        </w:rPr>
        <w:t xml:space="preserve">Target journal:</w:t>
      </w:r>
      <w:r>
        <w:t xml:space="preserve"> </w:t>
      </w:r>
      <w:r>
        <w:rPr>
          <w:iCs/>
          <w:i/>
        </w:rPr>
        <w:t xml:space="preserve">Information Systems Research</w:t>
      </w:r>
      <w:r>
        <w:t xml:space="preserve"> </w:t>
      </w:r>
      <w:r>
        <w:t xml:space="preserve">(anonymized manuscript; no author information)</w:t>
      </w:r>
    </w:p>
    <w:p>
      <w:pPr>
        <w:pStyle w:val="BodyText"/>
      </w:pPr>
      <w:r>
        <w:rPr>
          <w:bCs/>
          <w:b/>
        </w:rPr>
        <w:t xml:space="preserve">Keywords:</w:t>
      </w:r>
      <w:r>
        <w:t xml:space="preserve"> </w:t>
      </w:r>
      <w:r>
        <w:t xml:space="preserve">platform evolution; post-adoption maintenance; real options; compatibility; foundation models; release cadence; complementary assets; platform competition</w:t>
      </w:r>
    </w:p>
    <w:bookmarkStart w:id="20" w:name="abstract"/>
    <w:p>
      <w:pPr>
        <w:pStyle w:val="Heading2"/>
      </w:pPr>
      <w:r>
        <w:t xml:space="preserve">Abstract</w:t>
      </w:r>
    </w:p>
    <w:p>
      <w:pPr>
        <w:pStyle w:val="FirstParagraph"/>
      </w:pPr>
      <w:r>
        <w:t xml:space="preserve">Firms increasingly build complementary IT assets, such as fine-tuned adapters, on foundation-model platforms they do not control, and each platform upgrade destroys part or all of those assets. We study this post-adoption maintenance problem as an interaction between an adopter’s real-option decision and a platform owner’s choice of release cadence and compatibility support. At every upgrade a firm can copy its asset, which is free but imperfect; transfer it with a costly compatibility tool that recovers a share</w:t>
      </w:r>
      <w:r>
        <w:t xml:space="preserve"> </w:t>
      </w:r>
      <m:oMath>
        <m:r>
          <m:t>R</m:t>
        </m:r>
      </m:oMath>
      <w:r>
        <w:t xml:space="preserve"> </w:t>
      </w:r>
      <w:r>
        <w:t xml:space="preserve">of its value; or retrain it, an irreversible investment that expires at the next upgrade. The retraining threshold rises with the recovery rate as</w:t>
      </w:r>
      <w:r>
        <w:t xml:space="preserve"> </w:t>
      </w:r>
      <m:oMath>
        <m:r>
          <m:t>1</m:t>
        </m:r>
        <m:r>
          <m:rPr>
            <m:sty m:val="p"/>
          </m:rPr>
          <m:t>/</m:t>
        </m:r>
        <m:d>
          <m:dPr>
            <m:begChr m:val="("/>
            <m:endChr m:val=")"/>
            <m:sepChr m:val=""/>
            <m:grow/>
          </m:dPr>
          <m:e>
            <m:r>
              <m:t>1</m:t>
            </m:r>
            <m:r>
              <m:rPr>
                <m:sty m:val="p"/>
              </m:rPr>
              <m:t>−</m:t>
            </m:r>
            <m:r>
              <m:t>R</m:t>
            </m:r>
          </m:e>
        </m:d>
      </m:oMath>
      <w:r>
        <w:t xml:space="preserve">, with upgrade intensity, and with value volatility. A free copy weakly dominates immediate retraining, and a costly tool is optimal only for assets of intermediate value and only when its cost is below a bound</w:t>
      </w:r>
      <w:r>
        <w:t xml:space="preserve"> </w:t>
      </w:r>
      <m:oMath>
        <m:r>
          <m:t>Γ</m:t>
        </m:r>
      </m:oMath>
      <w:r>
        <w:t xml:space="preserve">. We then let the platform owner choose how often to release. An owner that captures part of enterprise surplus over-releases if and only if the average customer is harmed at the margin by a faster clock. Compatibility tools and release speed are strategic complements for any distribution of asset values, so better tools invite faster release and can leave firms that retrain anyway worse off. Under logit duopoly with a release race, each owner internalizes exactly one-third of the marginal change in customer surplus, and, in numerical analysis, an intermediate race separates owners into a fast, compatible frontier platform and a slow, stable one. Release histories of six open-weight model families imply about two main-line versions per year, and recovery measured on five open model pairs falls sharply with upgrade size. The results recast compatibility tooling as a governance variable that the platform owner sets jointly with the pace of change.</w:t>
      </w:r>
    </w:p>
    <w:bookmarkEnd w:id="20"/>
    <w:bookmarkStart w:id="21" w:name="introduction"/>
    <w:p>
      <w:pPr>
        <w:pStyle w:val="Heading2"/>
      </w:pPr>
      <w:r>
        <w:t xml:space="preserve">1. Introduction</w:t>
      </w:r>
    </w:p>
    <w:p>
      <w:pPr>
        <w:pStyle w:val="FirstParagraph"/>
      </w:pPr>
      <w:r>
        <w:t xml:space="preserve">Information systems research has long treated platforms as bundles of options for the firms that build on them (Fichman 2004) and has examined how platform owners govern the architecture and the boundary between platform and complements (Tiwana et al. 2010, Ghazawneh and Henfridsson 2013). A less examined question is what happens</w:t>
      </w:r>
      <w:r>
        <w:t xml:space="preserve"> </w:t>
      </w:r>
      <w:r>
        <w:rPr>
          <w:iCs/>
          <w:i/>
        </w:rPr>
        <w:t xml:space="preserve">after</w:t>
      </w:r>
      <w:r>
        <w:t xml:space="preserve"> </w:t>
      </w:r>
      <w:r>
        <w:t xml:space="preserve">adoption, when the platform is replaced underneath assets the adopter has already built. Foundation models make this question concrete and urgent. A fine-tuned low-rank adapter is cheap to train on a given base model and worthless, as a weight file, on the next one. Open-weight families release on the order of two main-line versions a year. The standard engineering response, retraining every adapter at every upgrade, treats the platform’s clock as a fact of nature and the firm’s cost as a sunk operating expense. Both treatments are incomplete, and the incompleteness is an information systems problem: it concerns the maintenance of IT assets that depend on a platform controlled by someone else.</w:t>
      </w:r>
    </w:p>
    <w:p>
      <w:pPr>
        <w:pStyle w:val="BodyText"/>
      </w:pPr>
      <w:r>
        <w:t xml:space="preserve">Retraining is an irreversible investment whose payoff is uncertain and whose life ends when the platform owner ships again. That is the textbook setting of real options (McDonald and Siegel 1986, Dixit and Pindyck 1994), and the right to wait has value. Compatibility and transfer tools that move an adapter without its original training data change the option: they buy a recovery rate</w:t>
      </w:r>
      <w:r>
        <w:t xml:space="preserve"> </w:t>
      </w:r>
      <m:oMath>
        <m:r>
          <m:t>R</m:t>
        </m:r>
      </m:oMath>
      <w:r>
        <w:t xml:space="preserve"> </w:t>
      </w:r>
      <w:r>
        <w:t xml:space="preserve">at a cost</w:t>
      </w:r>
      <w:r>
        <w:t xml:space="preserve"> </w:t>
      </w:r>
      <m:oMath>
        <m:r>
          <m:t>C</m:t>
        </m:r>
      </m:oMath>
      <w:r>
        <w:t xml:space="preserve"> </w:t>
      </w:r>
      <w:r>
        <w:t xml:space="preserve">and shift the exercise threshold. A free, naive copy of the adapter weights is itself a transfer technology with</w:t>
      </w:r>
      <w:r>
        <w:t xml:space="preserve"> </w:t>
      </w:r>
      <m:oMath>
        <m:r>
          <m:t>C</m:t>
        </m:r>
        <m:r>
          <m:rPr>
            <m:sty m:val="p"/>
          </m:rPr>
          <m:t>=</m:t>
        </m:r>
        <m:r>
          <m:t>0</m:t>
        </m:r>
      </m:oMath>
      <w:r>
        <w:t xml:space="preserve">.</w:t>
      </w:r>
    </w:p>
    <w:p>
      <w:pPr>
        <w:pStyle w:val="BodyText"/>
      </w:pPr>
      <w:r>
        <w:t xml:space="preserve">The more important part is that the clock is chosen. Platform owners release to win benchmarks, developers, and publicity, and much of the cost of each release falls on enterprise customers. Compatibility tools restore part of the destroyed option and, precisely because they do, change the owner’s incentive to destroy it. Better compatibility is therefore not an unmixed blessing for the firms that use it. It invites faster release, and firms that would have retrained anyway bear a higher cadence and can be made worse off.</w:t>
      </w:r>
    </w:p>
    <w:p>
      <w:pPr>
        <w:pStyle w:val="BodyText"/>
      </w:pPr>
      <w:r>
        <w:t xml:space="preserve">We ask three questions. First, given an exogenous release intensity, when should a firm copy, transfer, or retrain a complementary asset that dies at the next upgrade? Second, when the platform owner chooses intensity and possibly compatibility, does it release too often, and how does transfer technology feed back into that choice? Third, if owners compete for enterprise customers and for a general-market prize tied to release speed, how much of the change in customer surplus do they internalize, and can they differentiate on the speed–compatibility bundle?</w:t>
      </w:r>
    </w:p>
    <w:p>
      <w:pPr>
        <w:pStyle w:val="BodyText"/>
      </w:pPr>
      <w:r>
        <w:rPr>
          <w:bCs/>
          <w:b/>
        </w:rPr>
        <w:t xml:space="preserve">Summary of results.</w:t>
      </w:r>
      <w:r>
        <w:t xml:space="preserve"> </w:t>
      </w:r>
      <w:r>
        <w:t xml:space="preserve">Table 1 lists the results, the intuition behind each, and what each means for information systems research and practice.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Intuition</w:t>
            </w:r>
          </w:p>
        </w:tc>
        <w:tc>
          <w:tcPr/>
          <w:p>
            <w:pPr>
              <w:pStyle w:val="Compact"/>
              <w:jc w:val="left"/>
            </w:pPr>
            <w:r>
              <w:t xml:space="preserve">Implication for IS</w:t>
            </w:r>
          </w:p>
        </w:tc>
      </w:tr>
      <w:tr>
        <w:tc>
          <w:tcPr/>
          <w:p>
            <w:pPr>
              <w:pStyle w:val="Compact"/>
              <w:jc w:val="left"/>
            </w:pPr>
            <w:r>
              <w:t xml:space="preserve">The retraining threshold is proportional to</w:t>
            </w:r>
            <w:r>
              <w:t xml:space="preserve"> </w:t>
            </w:r>
            <m:oMath>
              <m:r>
                <m:t>1</m:t>
              </m:r>
              <m:r>
                <m:rPr>
                  <m:sty m:val="p"/>
                </m:rPr>
                <m:t>/</m:t>
              </m:r>
              <m:d>
                <m:dPr>
                  <m:begChr m:val="("/>
                  <m:endChr m:val=")"/>
                  <m:sepChr m:val=""/>
                  <m:grow/>
                </m:dPr>
                <m:e>
                  <m:r>
                    <m:t>1</m:t>
                  </m:r>
                  <m:r>
                    <m:rPr>
                      <m:sty m:val="p"/>
                    </m:rPr>
                    <m:t>−</m:t>
                  </m:r>
                  <m:r>
                    <m:t>R</m:t>
                  </m:r>
                </m:e>
              </m:d>
            </m:oMath>
            <w:r>
              <w:t xml:space="preserve"> </w:t>
            </w:r>
            <w:r>
              <w:t xml:space="preserve">and rises with upgrade intensity and volatility; a free copy weakly dominates immediate retraining (Props. 1–3)</w:t>
            </w:r>
          </w:p>
        </w:tc>
        <w:tc>
          <w:tcPr/>
          <w:p>
            <w:pPr>
              <w:pStyle w:val="Compact"/>
              <w:jc w:val="left"/>
            </w:pPr>
            <w:r>
              <w:t xml:space="preserve">Waiting is valuable when the asset can be partly rescued and may be rescued again</w:t>
            </w:r>
          </w:p>
        </w:tc>
        <w:tc>
          <w:tcPr/>
          <w:p>
            <w:pPr>
              <w:pStyle w:val="Compact"/>
              <w:jc w:val="left"/>
            </w:pPr>
            <w:r>
              <w:t xml:space="preserve">Triage assets by value relative to retraining cost; do not retrain by default</w:t>
            </w:r>
          </w:p>
        </w:tc>
      </w:tr>
      <w:tr>
        <w:tc>
          <w:tcPr/>
          <w:p>
            <w:pPr>
              <w:pStyle w:val="Compact"/>
              <w:jc w:val="left"/>
            </w:pPr>
            <w:r>
              <w:t xml:space="preserve">A costly tool is optimal only in an intermediate band of values and only if its cost is below</w:t>
            </w:r>
            <w:r>
              <w:t xml:space="preserve"> </w:t>
            </w:r>
            <m:oMath>
              <m:r>
                <m:t>Γ</m:t>
              </m:r>
            </m:oMath>
            <w:r>
              <w:t xml:space="preserve"> </w:t>
            </w:r>
            <w:r>
              <w:t xml:space="preserve">(Prop. 3)</w:t>
            </w:r>
          </w:p>
        </w:tc>
        <w:tc>
          <w:tcPr/>
          <w:p>
            <w:pPr>
              <w:pStyle w:val="Compact"/>
              <w:jc w:val="left"/>
            </w:pPr>
            <w:r>
              <w:t xml:space="preserve">Low-value assets are served by copy and high-value assets are retrained anyway</w:t>
            </w:r>
          </w:p>
        </w:tc>
        <w:tc>
          <w:tcPr/>
          <w:p>
            <w:pPr>
              <w:pStyle w:val="Compact"/>
              <w:jc w:val="left"/>
            </w:pPr>
            <w:r>
              <w:t xml:space="preserve">Buy compatibility tools by measured</w:t>
            </w:r>
            <w:r>
              <w:t xml:space="preserve"> </w:t>
            </w:r>
            <m:oMath>
              <m:r>
                <m:t>C</m:t>
              </m:r>
              <m:r>
                <m:rPr>
                  <m:sty m:val="p"/>
                </m:rPr>
                <m:t>&lt;</m:t>
              </m:r>
              <m:r>
                <m:t>Γ</m:t>
              </m:r>
            </m:oMath>
            <w:r>
              <w:t xml:space="preserve">, not by vendor claims</w:t>
            </w:r>
          </w:p>
        </w:tc>
      </w:tr>
      <w:tr>
        <w:tc>
          <w:tcPr/>
          <w:p>
            <w:pPr>
              <w:pStyle w:val="Compact"/>
              <w:jc w:val="left"/>
            </w:pPr>
            <w:r>
              <w:t xml:space="preserve">A revenue-sharing owner over-releases iff the average customer is harmed at the margin (Props. 4–5)</w:t>
            </w:r>
          </w:p>
        </w:tc>
        <w:tc>
          <w:tcPr/>
          <w:p>
            <w:pPr>
              <w:pStyle w:val="Compact"/>
              <w:jc w:val="left"/>
            </w:pPr>
            <w:r>
              <w:t xml:space="preserve">The owner internalizes only share</w:t>
            </w:r>
            <w:r>
              <w:t xml:space="preserve"> </w:t>
            </w:r>
            <m:oMath>
              <m:r>
                <m:t>θ</m:t>
              </m:r>
            </m:oMath>
            <w:r>
              <w:t xml:space="preserve"> </w:t>
            </w:r>
            <w:r>
              <w:t xml:space="preserve">of the burden it imposes</w:t>
            </w:r>
          </w:p>
        </w:tc>
        <w:tc>
          <w:tcPr/>
          <w:p>
            <w:pPr>
              <w:pStyle w:val="Compact"/>
              <w:jc w:val="left"/>
            </w:pPr>
            <w:r>
              <w:t xml:space="preserve">Release cadence is a governance variable with welfare consequences</w:t>
            </w:r>
          </w:p>
        </w:tc>
      </w:tr>
      <w:tr>
        <w:tc>
          <w:tcPr/>
          <w:p>
            <w:pPr>
              <w:pStyle w:val="Compact"/>
              <w:jc w:val="left"/>
            </w:pPr>
            <w:r>
              <w:t xml:space="preserve">Compatibility and cadence are strategic complements for any distribution of values (Prop. 6)</w:t>
            </w:r>
          </w:p>
        </w:tc>
        <w:tc>
          <w:tcPr/>
          <w:p>
            <w:pPr>
              <w:pStyle w:val="Compact"/>
              <w:jc w:val="left"/>
            </w:pPr>
            <w:r>
              <w:t xml:space="preserve">Easier transfer lowers the marginal burden of a release</w:t>
            </w:r>
          </w:p>
        </w:tc>
        <w:tc>
          <w:tcPr/>
          <w:p>
            <w:pPr>
              <w:pStyle w:val="Compact"/>
              <w:jc w:val="left"/>
            </w:pPr>
            <w:r>
              <w:t xml:space="preserve">Owner-provided migration tools should be read as a signal of faster release</w:t>
            </w:r>
          </w:p>
        </w:tc>
      </w:tr>
      <w:tr>
        <w:tc>
          <w:tcPr/>
          <w:p>
            <w:pPr>
              <w:pStyle w:val="Compact"/>
              <w:jc w:val="left"/>
            </w:pPr>
            <w:r>
              <w:t xml:space="preserve">Better transfer helps mid-value transferring firms and hurts firms that retrain anyway (Prop. 7)</w:t>
            </w:r>
          </w:p>
        </w:tc>
        <w:tc>
          <w:tcPr/>
          <w:p>
            <w:pPr>
              <w:pStyle w:val="Compact"/>
              <w:jc w:val="left"/>
            </w:pPr>
            <w:r>
              <w:t xml:space="preserve">The cadence effect dominates for firms that cannot use the tool</w:t>
            </w:r>
          </w:p>
        </w:tc>
        <w:tc>
          <w:tcPr/>
          <w:p>
            <w:pPr>
              <w:pStyle w:val="Compact"/>
              <w:jc w:val="left"/>
            </w:pPr>
            <w:r>
              <w:t xml:space="preserve">Contractual release caps or long-term-support lines can be worth more than a better converter for high-value assets</w:t>
            </w:r>
          </w:p>
        </w:tc>
      </w:tr>
      <w:tr>
        <w:tc>
          <w:tcPr/>
          <w:p>
            <w:pPr>
              <w:pStyle w:val="Compact"/>
              <w:jc w:val="left"/>
            </w:pPr>
            <w:r>
              <w:t xml:space="preserve">Under logit duopoly each owner internalizes exactly one-third of the marginal change in customer surplus (Props. 9–11)</w:t>
            </w:r>
          </w:p>
        </w:tc>
        <w:tc>
          <w:tcPr/>
          <w:p>
            <w:pPr>
              <w:pStyle w:val="Compact"/>
              <w:jc w:val="left"/>
            </w:pPr>
            <w:r>
              <w:t xml:space="preserve">A logit price response splits a quality shock one-third to price and one-third to share</w:t>
            </w:r>
          </w:p>
        </w:tc>
        <w:tc>
          <w:tcPr/>
          <w:p>
            <w:pPr>
              <w:pStyle w:val="Compact"/>
              <w:jc w:val="left"/>
            </w:pPr>
            <w:r>
              <w:t xml:space="preserve">Competition does not remove over-release; it caps internalization</w:t>
            </w:r>
          </w:p>
        </w:tc>
      </w:tr>
      <w:tr>
        <w:tc>
          <w:tcPr/>
          <w:p>
            <w:pPr>
              <w:pStyle w:val="Compact"/>
              <w:jc w:val="left"/>
            </w:pPr>
            <w:r>
              <w:t xml:space="preserve">A numerical intermediate race yields a fast, compatible frontier owner and a slow, stable one (Prop. 12)</w:t>
            </w:r>
          </w:p>
        </w:tc>
        <w:tc>
          <w:tcPr/>
          <w:p>
            <w:pPr>
              <w:pStyle w:val="Compact"/>
              <w:jc w:val="left"/>
            </w:pPr>
            <w:r>
              <w:t xml:space="preserve">Cadence and compatibility are a bundle along which owners can separate</w:t>
            </w:r>
          </w:p>
        </w:tc>
        <w:tc>
          <w:tcPr/>
          <w:p>
            <w:pPr>
              <w:pStyle w:val="Compact"/>
              <w:jc w:val="left"/>
            </w:pPr>
            <w:r>
              <w:t xml:space="preserve">Segment assets across frontier and stable platforms</w:t>
            </w:r>
          </w:p>
        </w:tc>
      </w:tr>
    </w:tbl>
    <w:p>
      <w:pPr>
        <w:pStyle w:val="BodyText"/>
      </w:pPr>
      <w:r>
        <w:rPr>
          <w:iCs/>
          <w:i/>
        </w:rPr>
        <w:t xml:space="preserve">Table 1. Summary of results.</w:t>
      </w:r>
    </w:p>
    <w:p>
      <w:pPr>
        <w:pStyle w:val="BodyText"/>
      </w:pPr>
      <w:r>
        <w:t xml:space="preserve">Two empirical inputs discipline the model; they are not the contribution. Public release dates for Llama, Gemma, Phi, Qwen, Mistral, and DeepSeek through 28 September 2026 imply a pooled primary-definition intensity of 1.97 main-line versions per year. Recovery rates measured on five small open model pairs show that upgrade size, not the brand of transfer method, is the first-order determinant of</w:t>
      </w:r>
      <w:r>
        <w:t xml:space="preserve"> </w:t>
      </w:r>
      <m:oMath>
        <m:r>
          <m:t>R</m:t>
        </m:r>
      </m:oMath>
      <w:r>
        <w:t xml:space="preserve">: a naive copy recovered about 94 percent of the retraining gain after small continued-training upgrades and about 5 percent after a large one. These facts are used as</w:t>
      </w:r>
      <w:r>
        <w:t xml:space="preserve"> </w:t>
      </w:r>
      <m:oMath>
        <m:d>
          <m:dPr>
            <m:begChr m:val="("/>
            <m:endChr m:val=")"/>
            <m:sepChr m:val=""/>
            <m:grow/>
          </m:dPr>
          <m:e>
            <m:r>
              <m:t>R</m:t>
            </m:r>
            <m:r>
              <m:rPr>
                <m:sty m:val="p"/>
              </m:rPr>
              <m:t>,</m:t>
            </m:r>
            <m:r>
              <m:t>C</m:t>
            </m:r>
            <m:r>
              <m:rPr>
                <m:sty m:val="p"/>
              </m:rPr>
              <m:t>,</m:t>
            </m:r>
            <m:r>
              <m:t>μ</m:t>
            </m:r>
          </m:e>
        </m:d>
      </m:oMath>
      <w:r>
        <w:t xml:space="preserve"> </w:t>
      </w:r>
      <w:r>
        <w:t xml:space="preserve">inputs. A particular converter used only to measure one</w:t>
      </w:r>
      <w:r>
        <w:t xml:space="preserve"> </w:t>
      </w:r>
      <m:oMath>
        <m:d>
          <m:dPr>
            <m:begChr m:val="("/>
            <m:endChr m:val=")"/>
            <m:sepChr m:val=""/>
            <m:grow/>
          </m:dPr>
          <m:e>
            <m:r>
              <m:t>R</m:t>
            </m:r>
            <m:r>
              <m:rPr>
                <m:sty m:val="p"/>
              </m:rPr>
              <m:t>,</m:t>
            </m:r>
            <m:r>
              <m:t>C</m:t>
            </m:r>
          </m:e>
        </m:d>
      </m:oMath>
      <w:r>
        <w:t xml:space="preserve"> </w:t>
      </w:r>
      <w:r>
        <w:t xml:space="preserve">pair is confined to the online appendix and is not a contribution of this paper.</w:t>
      </w:r>
    </w:p>
    <w:p>
      <w:pPr>
        <w:pStyle w:val="BodyText"/>
      </w:pPr>
      <w:r>
        <w:rPr>
          <w:bCs/>
          <w:b/>
        </w:rPr>
        <w:t xml:space="preserve">Contribution.</w:t>
      </w:r>
      <w:r>
        <w:t xml:space="preserve"> </w:t>
      </w:r>
      <w:r>
        <w:t xml:space="preserve">The paper makes three contributions to information systems research. First, it moves the real-options view of IT platforms (Fichman 2004, Taudes et al. 2000, Benaroch and Kauffman 1999) from the adoption decision to</w:t>
      </w:r>
      <w:r>
        <w:t xml:space="preserve"> </w:t>
      </w:r>
      <w:r>
        <w:rPr>
          <w:iCs/>
          <w:i/>
        </w:rPr>
        <w:t xml:space="preserve">post-adoption maintenance</w:t>
      </w:r>
      <w:r>
        <w:t xml:space="preserve"> </w:t>
      </w:r>
      <w:r>
        <w:t xml:space="preserve">of complementary assets, and it characterizes the resulting policy regions without reference to any named algorithm. Second, it treats the platform owner as the agent that sets the rate at which the adopter’s options are destroyed, and it identifies a complementarity between compatibility support and release speed with a sharp distributional implication: tools that help some customers hurt others through the cadence they induce. This extends platform-evolution research (Tiwana et al. 2010) with an explicit maintenance channel. Third, it shows how much of the change in customer surplus competing owners internalize and that the speed–compatibility bundle is a dimension along which platforms can separate, which links platform governance to platform competition (Parker and Van Alstyne 2018, Rochet and Tirole 2003). The paper also offers managers a maintenance policy whose qualitative regions do not depend on any named algorithm.</w:t>
      </w:r>
    </w:p>
    <w:p>
      <w:pPr>
        <w:pStyle w:val="BodyText"/>
      </w:pPr>
      <w:r>
        <w:t xml:space="preserve">The remainder of the paper is organized as follows. Section 2 positions the paper in the literature. Section 3 sets up the model and presents two stylized facts. Section 4 solves the firm’s maintenance option. Sections 5 and 6 study a monopoly owner and competing owners. Section 7 reports robustness and extensions. Section 8 draws implications for research and practice, and Section 9 concludes.</w:t>
      </w:r>
    </w:p>
    <w:bookmarkEnd w:id="21"/>
    <w:bookmarkStart w:id="22" w:name="related-literature-and-positioning"/>
    <w:p>
      <w:pPr>
        <w:pStyle w:val="Heading2"/>
      </w:pPr>
      <w:r>
        <w:t xml:space="preserve">2. Related Literature and Positioning</w:t>
      </w:r>
    </w:p>
    <w:p>
      <w:pPr>
        <w:pStyle w:val="FirstParagraph"/>
      </w:pPr>
      <w:r>
        <w:rPr>
          <w:iCs/>
          <w:i/>
        </w:rPr>
        <w:t xml:space="preserve">Real options and IT investment.</w:t>
      </w:r>
      <w:r>
        <w:t xml:space="preserve"> </w:t>
      </w:r>
      <w:r>
        <w:t xml:space="preserve">McDonald and Siegel (1986) and Dixit and Pindyck (1994) established that the right to delay an irreversible investment has value. Technology investments fit this logic because implementation costs are partly sunk while standards keep moving (Dos Santos 1991, Grenadier and Weiss 1997, Benaroch and Kauffman 1999, Taudes et al. 2000, Benaroch 2001, Fichman 2004, Kauffman and Li 2005, Santiago and Bifano 2005). Closest in structure are models of adoption when a further innovation is anticipated (Rajagopalan 1999) and of modular upgradeability as insurance against technological change (Kamrad et al. 2013). Recent work applies the same lens to enterprise AI adoption (Tewari 2026). We move the lens from whether to adopt to how to</w:t>
      </w:r>
      <w:r>
        <w:t xml:space="preserve"> </w:t>
      </w:r>
      <w:r>
        <w:rPr>
          <w:iCs/>
          <w:i/>
        </w:rPr>
        <w:t xml:space="preserve">renew</w:t>
      </w:r>
      <w:r>
        <w:t xml:space="preserve"> </w:t>
      </w:r>
      <w:r>
        <w:t xml:space="preserve">an already deployed complementary asset when the platform underneath it is replaced at a rate the asset owner does not choose, and we make that rate endogenous.</w:t>
      </w:r>
    </w:p>
    <w:p>
      <w:pPr>
        <w:pStyle w:val="BodyText"/>
      </w:pPr>
      <w:r>
        <w:rPr>
          <w:iCs/>
          <w:i/>
        </w:rPr>
        <w:t xml:space="preserve">Platform evolution, compatibility, and planned obsolescence.</w:t>
      </w:r>
      <w:r>
        <w:t xml:space="preserve"> </w:t>
      </w:r>
      <w:r>
        <w:t xml:space="preserve">Compatibility choices shape adoption and competition (Katz and Shapiro 1985, Farrell and Saloner 1985). Platform owners trade off openness against control over complements (Parker and Van Alstyne 2018), and platform architecture and governance coevolve with the environment (Tiwana et al. 2010, Ghazawneh and Henfridsson 2013, Yoo et al. 2010). Competing platforms can relax price competition through differentiation (Shaked and Sutton 1982) and compete in two-sided markets (Rochet and Tirole 2003, Armstrong 2006). We add a maintenance channel: the platform’s release cadence destroys options held by complementors, compatibility tools partly restore them, and the restoration feeds back into the cadence. The resulting speed–compatibility bundle is a dimension along which competing platforms can separate.</w:t>
      </w:r>
    </w:p>
    <w:p>
      <w:pPr>
        <w:pStyle w:val="BodyText"/>
      </w:pPr>
      <w:r>
        <w:rPr>
          <w:iCs/>
          <w:i/>
        </w:rPr>
        <w:t xml:space="preserve">Maintenance of IT and learning systems.</w:t>
      </w:r>
      <w:r>
        <w:t xml:space="preserve"> </w:t>
      </w:r>
      <w:r>
        <w:t xml:space="preserve">Maintenance has long been recognized as a central cost of IT assets (Swanson 1976). Work on when to retrain a machine-learning model attributes the need to data drift and considers two actions, retrain or keep (Mahadevan and Mathioudakis 2023, Regol et al. 2025). We attribute the need to platform replacement and add transfer as an intermediate action.</w:t>
      </w:r>
    </w:p>
    <w:p>
      <w:pPr>
        <w:pStyle w:val="BodyText"/>
      </w:pPr>
      <w:r>
        <w:rPr>
          <w:iCs/>
          <w:i/>
        </w:rPr>
        <w:t xml:space="preserve">Adapter transfer.</w:t>
      </w:r>
      <w:r>
        <w:t xml:space="preserve"> </w:t>
      </w:r>
      <w:r>
        <w:t xml:space="preserve">Methods that move adapters without retraining include distillation, subspace projection, and light remapping (Wang et al. 2024, Farhadzadeh et al. 2025a,b, Li et al. 2025, Xia et al. 2025). Hochlehnert et al. (2026) find that naive copy is a strong baseline between related models. In our model every method is a pair</w:t>
      </w:r>
      <w:r>
        <w:t xml:space="preserve"> </w:t>
      </w:r>
      <m:oMath>
        <m:d>
          <m:dPr>
            <m:begChr m:val="("/>
            <m:endChr m:val=")"/>
            <m:sepChr m:val=""/>
            <m:grow/>
          </m:dPr>
          <m:e>
            <m:r>
              <m:t>R</m:t>
            </m:r>
            <m:r>
              <m:rPr>
                <m:sty m:val="p"/>
              </m:rPr>
              <m:t>,</m:t>
            </m:r>
            <m:r>
              <m:t>C</m:t>
            </m:r>
          </m:e>
        </m:d>
      </m:oMath>
      <w:r>
        <w:t xml:space="preserve">, which is what allows us to study the economics without taking a stand on the algorithm.</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pPr>
          </w:p>
        </w:tc>
        <w:tc>
          <w:tcPr/>
          <w:p>
            <w:pPr>
              <w:pStyle w:val="Compact"/>
              <w:jc w:val="center"/>
            </w:pPr>
            <w:r>
              <w:t xml:space="preserve">Adoption timing</w:t>
            </w:r>
          </w:p>
        </w:tc>
        <w:tc>
          <w:tcPr/>
          <w:p>
            <w:pPr>
              <w:pStyle w:val="Compact"/>
              <w:jc w:val="center"/>
            </w:pPr>
            <w:r>
              <w:t xml:space="preserve">Maintenance after adoption</w:t>
            </w:r>
          </w:p>
        </w:tc>
        <w:tc>
          <w:tcPr/>
          <w:p>
            <w:pPr>
              <w:pStyle w:val="Compact"/>
              <w:jc w:val="center"/>
            </w:pPr>
            <w:r>
              <w:t xml:space="preserve">Platform owner endogenous</w:t>
            </w:r>
          </w:p>
        </w:tc>
        <w:tc>
          <w:tcPr/>
          <w:p>
            <w:pPr>
              <w:pStyle w:val="Compact"/>
              <w:jc w:val="center"/>
            </w:pPr>
            <w:r>
              <w:t xml:space="preserve">Competition between owners</w:t>
            </w:r>
          </w:p>
        </w:tc>
      </w:tr>
      <w:tr>
        <w:tc>
          <w:tcPr/>
          <w:p>
            <w:pPr>
              <w:pStyle w:val="Compact"/>
              <w:jc w:val="left"/>
            </w:pPr>
            <w:r>
              <w:t xml:space="preserve">Real options in IT (Benaroch and Kauffman 1999, Fichman 2004)</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Anticipated innovation (Rajagopalan 1999, Kamrad et al. 2013)</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Platform evolution and governance (Tiwana et al. 2010, Parker and Van Alstyne 2018)</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partly</w:t>
            </w:r>
          </w:p>
        </w:tc>
      </w:tr>
      <w:tr>
        <w:tc>
          <w:tcPr/>
          <w:p>
            <w:pPr>
              <w:pStyle w:val="Compact"/>
              <w:jc w:val="left"/>
            </w:pPr>
            <w:r>
              <w:t xml:space="preserve">Model retraining (Mahadevan and Mathioudakis 2023, Regol et al. 2025)</w:t>
            </w: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rPr>
                <w:bCs/>
                <w:b/>
              </w:rPr>
              <w:t xml:space="preserve">This paper</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iCs/>
          <w:i/>
        </w:rPr>
        <w:t xml:space="preserve">Table 2. Positioning.</w:t>
      </w:r>
    </w:p>
    <w:bookmarkEnd w:id="22"/>
    <w:bookmarkStart w:id="26" w:name="setting-and-stylized-facts"/>
    <w:p>
      <w:pPr>
        <w:pStyle w:val="Heading2"/>
      </w:pPr>
      <w:r>
        <w:t xml:space="preserve">3. Setting and Stylized Facts</w:t>
      </w:r>
    </w:p>
    <w:bookmarkStart w:id="23" w:name="X8e19f3ae16ed5a04f899e6fdc41f011b16f3145"/>
    <w:p>
      <w:pPr>
        <w:pStyle w:val="Heading3"/>
      </w:pPr>
      <w:r>
        <w:t xml:space="preserve">3.1 Complementary assets on a foundation-model platform</w:t>
      </w:r>
    </w:p>
    <w:p>
      <w:pPr>
        <w:pStyle w:val="FirstParagraph"/>
      </w:pPr>
      <w:r>
        <w:t xml:space="preserve">The unit of analysis on the demand side is a firm that operates one task-specific adapter on a named base model. An</w:t>
      </w:r>
      <w:r>
        <w:t xml:space="preserve"> </w:t>
      </w:r>
      <w:r>
        <w:rPr>
          <w:iCs/>
          <w:i/>
        </w:rPr>
        <w:t xml:space="preserve">epoch</w:t>
      </w:r>
      <w:r>
        <w:t xml:space="preserve"> </w:t>
      </w:r>
      <w:r>
        <w:t xml:space="preserve">is the interval from one upgrade to the next. At the start of an epoch the firm chooses a transfer method. During the epoch it may retrain. When the next upgrade arrives, the current adapter and any retraining investment lose their value and a new epoch begins.</w:t>
      </w:r>
    </w:p>
    <w:p>
      <w:pPr>
        <w:pStyle w:val="BodyText"/>
      </w:pPr>
      <w:r>
        <w:t xml:space="preserve">A transfer method</w:t>
      </w:r>
      <w:r>
        <w:t xml:space="preserve"> </w:t>
      </w:r>
      <m:oMath>
        <m:r>
          <m:t>j</m:t>
        </m:r>
      </m:oMath>
      <w:r>
        <w:t xml:space="preserve"> </w:t>
      </w:r>
      <w:r>
        <w:t xml:space="preserve">is summarized by a recovery rate</w:t>
      </w:r>
      <w:r>
        <w:t xml:space="preserve"> </w:t>
      </w:r>
      <m:oMath>
        <m:sSub>
          <m:e>
            <m:r>
              <m:t>R</m:t>
            </m:r>
          </m:e>
          <m:sub>
            <m:r>
              <m:t>j</m:t>
            </m:r>
          </m:sub>
        </m:sSub>
        <m:r>
          <m:rPr>
            <m:sty m:val="p"/>
          </m:rPr>
          <m:t>∈</m:t>
        </m:r>
        <m:d>
          <m:dPr>
            <m:begChr m:val="["/>
            <m:endChr m:val="]"/>
            <m:sepChr m:val=""/>
            <m:grow/>
          </m:dPr>
          <m:e>
            <m:r>
              <m:t>0</m:t>
            </m:r>
            <m:r>
              <m:rPr>
                <m:sty m:val="p"/>
              </m:rPr>
              <m:t>,</m:t>
            </m:r>
            <m:r>
              <m:t>1</m:t>
            </m:r>
          </m:e>
        </m:d>
      </m:oMath>
      <w:r>
        <w:t xml:space="preserve"> </w:t>
      </w:r>
      <w:r>
        <w:t xml:space="preserve">and a cost</w:t>
      </w:r>
      <w:r>
        <w:t xml:space="preserve"> </w:t>
      </w:r>
      <m:oMath>
        <m:sSub>
          <m:e>
            <m:r>
              <m:t>C</m:t>
            </m:r>
          </m:e>
          <m:sub>
            <m:r>
              <m:t>j</m:t>
            </m:r>
          </m:sub>
        </m:sSub>
        <m:r>
          <m:rPr>
            <m:sty m:val="p"/>
          </m:rPr>
          <m:t>≥</m:t>
        </m:r>
        <m:r>
          <m:t>0</m:t>
        </m:r>
      </m:oMath>
      <w:r>
        <w:t xml:space="preserve">. Naive copy of adapter weights is</w:t>
      </w:r>
      <w:r>
        <w:t xml:space="preserve"> </w:t>
      </w:r>
      <m:oMath>
        <m:d>
          <m:dPr>
            <m:begChr m:val="("/>
            <m:endChr m:val=")"/>
            <m:sepChr m:val=""/>
            <m:grow/>
          </m:dPr>
          <m:e>
            <m:sSub>
              <m:e>
                <m:r>
                  <m:t>R</m:t>
                </m:r>
              </m:e>
              <m:sub>
                <m:r>
                  <m:t>C</m:t>
                </m:r>
              </m:sub>
            </m:sSub>
            <m:r>
              <m:rPr>
                <m:sty m:val="p"/>
              </m:rPr>
              <m:t>,</m:t>
            </m:r>
            <m:r>
              <m:t>0</m:t>
            </m:r>
          </m:e>
        </m:d>
      </m:oMath>
      <w:r>
        <w:t xml:space="preserve">.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The value flow</w:t>
      </w:r>
      <w:r>
        <w:t xml:space="preserve"> </w:t>
      </w:r>
      <m:oMath>
        <m:r>
          <m:t>v</m:t>
        </m:r>
      </m:oMath>
      <w:r>
        <w:t xml:space="preserve"> </w:t>
      </w:r>
      <w:r>
        <w:t xml:space="preserve">when the adapter performs at the retrained level follows geometric Brownian motion</w:t>
      </w:r>
      <w:r>
        <w:t xml:space="preserve"> </w:t>
      </w:r>
      <m:oMath>
        <m:r>
          <m:t>d</m:t>
        </m:r>
        <m:r>
          <m:t>v</m:t>
        </m:r>
        <m:r>
          <m:rPr>
            <m:sty m:val="p"/>
          </m:rPr>
          <m:t>=</m:t>
        </m:r>
        <m:r>
          <m:t>g</m:t>
        </m:r>
        <m:r>
          <m:t> </m:t>
        </m:r>
        <m:r>
          <m:t>v</m:t>
        </m:r>
        <m:r>
          <m:t> </m:t>
        </m:r>
        <m:r>
          <m:t>d</m:t>
        </m:r>
        <m:r>
          <m:t>t</m:t>
        </m:r>
        <m:r>
          <m:rPr>
            <m:sty m:val="p"/>
          </m:rPr>
          <m:t>+</m:t>
        </m:r>
        <m:r>
          <m:t>σ</m:t>
        </m:r>
        <m:r>
          <m:t>v</m:t>
        </m:r>
        <m:r>
          <m:t> </m:t>
        </m:r>
        <m:r>
          <m:t>d</m:t>
        </m:r>
        <m:r>
          <m:t>W</m:t>
        </m:r>
      </m:oMath>
      <w:r>
        <w:t xml:space="preserve">. After transfer the firm receives flow</w:t>
      </w:r>
      <w:r>
        <w:t xml:space="preserve"> </w:t>
      </w:r>
      <m:oMath>
        <m:r>
          <m:t>v</m:t>
        </m:r>
        <m:d>
          <m:dPr>
            <m:begChr m:val="("/>
            <m:endChr m:val=")"/>
            <m:sepChr m:val=""/>
            <m:grow/>
          </m:dPr>
          <m:e>
            <m:r>
              <m:t>1</m:t>
            </m:r>
            <m:r>
              <m:rPr>
                <m:sty m:val="p"/>
              </m:rPr>
              <m:t>−</m:t>
            </m:r>
            <m:r>
              <m:t>R</m:t>
            </m:r>
          </m:e>
        </m:d>
      </m:oMath>
      <w:r>
        <w:t xml:space="preserve"> </w:t>
      </w:r>
      <w:r>
        <w:t xml:space="preserve">until it retrains or the epoch ends. The discount rate is</w:t>
      </w:r>
      <w:r>
        <w:t xml:space="preserve"> </w:t>
      </w:r>
      <m:oMath>
        <m:r>
          <m:t>ρ</m:t>
        </m:r>
      </m:oMath>
      <w:r>
        <w:t xml:space="preserve">, with</w:t>
      </w:r>
      <w:r>
        <w:t xml:space="preserve"> </w:t>
      </w:r>
      <m:oMath>
        <m:r>
          <m:t>ρ</m:t>
        </m:r>
        <m:r>
          <m:rPr>
            <m:sty m:val="p"/>
          </m:rPr>
          <m:t>+</m:t>
        </m:r>
        <m:r>
          <m:t>μ</m:t>
        </m:r>
        <m:r>
          <m:rPr>
            <m:sty m:val="p"/>
          </m:rPr>
          <m:t>&gt;</m:t>
        </m:r>
        <m:r>
          <m:t>g</m:t>
        </m:r>
      </m:oMath>
      <w:r>
        <w:t xml:space="preserve">. Upgrades arrive as a Poisson process of intensity</w:t>
      </w:r>
      <w:r>
        <w:t xml:space="preserve"> </w:t>
      </w:r>
      <m:oMath>
        <m:r>
          <m:t>μ</m:t>
        </m:r>
      </m:oMath>
      <w:r>
        <w:t xml:space="preserve"> </w:t>
      </w:r>
      <w:r>
        <w:t xml:space="preserve">when</w:t>
      </w:r>
      <w:r>
        <w:t xml:space="preserve"> </w:t>
      </w:r>
      <m:oMath>
        <m:r>
          <m:t>μ</m:t>
        </m:r>
      </m:oMath>
      <w:r>
        <w:t xml:space="preserve"> </w:t>
      </w:r>
      <w:r>
        <w:t xml:space="preserve">is taken as given. Section 5 endogenizes</w:t>
      </w:r>
      <w:r>
        <w:t xml:space="preserve"> </w:t>
      </w:r>
      <m:oMath>
        <m:r>
          <m:t>μ</m:t>
        </m:r>
      </m:oMath>
      <w:r>
        <w:t xml:space="preserve">.</w:t>
      </w:r>
    </w:p>
    <w:bookmarkEnd w:id="23"/>
    <w:bookmarkStart w:id="24" w:name="X305557e15931e06461f3853afde83ddf2bb0a60"/>
    <w:p>
      <w:pPr>
        <w:pStyle w:val="Heading3"/>
      </w:pPr>
      <w:r>
        <w:t xml:space="preserve">3.2 Stylized fact 1: release intensity is about two per year and more regular than Poisson</w:t>
      </w:r>
    </w:p>
    <w:p>
      <w:pPr>
        <w:pStyle w:val="FirstParagraph"/>
      </w:pPr>
      <w:r>
        <w:t xml:space="preserve">We recorded the date on which weights of each new main-line version of six open-weight families were first publicly available, from each family’s first release through 28 September 2026. The primary definition counts a new version of the family’s main general-purpose text model. A broad definition adds refreshed checkpoints and reasoning variants. The replication package lists every date. Selected dates were re-checked against vendor announcements (Llama 3.3 on 6 December 2024; Gemma 4 on 2 April 2026; DeepSeek-V4.1-Flash on 10 September 2026); see Appendix C.</w:t>
      </w:r>
    </w:p>
    <w:tbl>
      <w:tblPr>
        <w:tblStyle w:val="Table"/>
        <w:tblW w:type="pct" w:w="5000"/>
        <w:tblLook w:firstRow="1" w:lastRow="0" w:firstColumn="0" w:lastColumn="0" w:noHBand="0" w:noVBand="0" w:val="0020"/>
        <w:jc w:val="start"/>
      </w:tblPr>
      <w:tblGrid>
        <w:gridCol w:w="1092"/>
        <w:gridCol w:w="1092"/>
        <w:gridCol w:w="1092"/>
        <w:gridCol w:w="1092"/>
        <w:gridCol w:w="1365"/>
        <w:gridCol w:w="1092"/>
        <w:gridCol w:w="1092"/>
      </w:tblGrid>
      <w:tr>
        <w:trPr>
          <w:tblHeader w:val="true"/>
        </w:trPr>
        <w:tc>
          <w:tcPr/>
          <w:p>
            <w:pPr>
              <w:pStyle w:val="Compact"/>
              <w:jc w:val="left"/>
            </w:pPr>
            <w:r>
              <w:t xml:space="preserve">Family</w:t>
            </w:r>
          </w:p>
        </w:tc>
        <w:tc>
          <w:tcPr/>
          <w:p>
            <w:pPr>
              <w:pStyle w:val="Compact"/>
              <w:jc w:val="right"/>
            </w:pPr>
            <m:oMath>
              <m:r>
                <m:t>n</m:t>
              </m:r>
            </m:oMath>
          </w:p>
        </w:tc>
        <w:tc>
          <w:tcPr/>
          <w:p>
            <w:pPr>
              <w:pStyle w:val="Compact"/>
              <w:jc w:val="right"/>
            </w:pPr>
            <m:oMath>
              <m:r>
                <m:t>T</m:t>
              </m:r>
            </m:oMath>
            <w:r>
              <w:t xml:space="preserve"> </w:t>
            </w:r>
            <w:r>
              <w:t xml:space="preserve">(years)</w:t>
            </w:r>
          </w:p>
        </w:tc>
        <w:tc>
          <w:tcPr/>
          <w:p>
            <w:pPr>
              <w:pStyle w:val="Compact"/>
              <w:jc w:val="right"/>
            </w:pPr>
            <m:oMath>
              <m:acc>
                <m:accPr>
                  <m:chr m:val="̂"/>
                </m:accPr>
                <m:e>
                  <m:r>
                    <m:t>μ</m:t>
                  </m:r>
                </m:e>
              </m:acc>
            </m:oMath>
          </w:p>
        </w:tc>
        <w:tc>
          <w:tcPr/>
          <w:p>
            <w:pPr>
              <w:pStyle w:val="Compact"/>
              <w:jc w:val="center"/>
            </w:pPr>
            <w:r>
              <w:t xml:space="preserve">95% CI</w:t>
            </w:r>
          </w:p>
        </w:tc>
        <w:tc>
          <w:tcPr/>
          <w:p>
            <w:pPr>
              <w:pStyle w:val="Compact"/>
              <w:jc w:val="right"/>
            </w:pPr>
            <w:r>
              <w:t xml:space="preserve">Mean gap (months)</w:t>
            </w:r>
          </w:p>
        </w:tc>
        <w:tc>
          <w:tcPr/>
          <w:p>
            <w:pPr>
              <w:pStyle w:val="Compact"/>
              <w:jc w:val="right"/>
            </w:pPr>
            <w:r>
              <w:t xml:space="preserve">CV of gaps</w:t>
            </w:r>
          </w:p>
        </w:tc>
      </w:tr>
      <w:tr>
        <w:tc>
          <w:tcPr/>
          <w:p>
            <w:pPr>
              <w:pStyle w:val="Compact"/>
              <w:jc w:val="left"/>
            </w:pPr>
            <w:r>
              <w:t xml:space="preserve">Llama</w:t>
            </w:r>
          </w:p>
        </w:tc>
        <w:tc>
          <w:tcPr/>
          <w:p>
            <w:pPr>
              <w:pStyle w:val="Compact"/>
              <w:jc w:val="right"/>
            </w:pPr>
            <w:r>
              <w:t xml:space="preserve">6</w:t>
            </w:r>
          </w:p>
        </w:tc>
        <w:tc>
          <w:tcPr/>
          <w:p>
            <w:pPr>
              <w:pStyle w:val="Compact"/>
              <w:jc w:val="right"/>
            </w:pPr>
            <w:r>
              <w:t xml:space="preserve">3.59</w:t>
            </w:r>
          </w:p>
        </w:tc>
        <w:tc>
          <w:tcPr/>
          <w:p>
            <w:pPr>
              <w:pStyle w:val="Compact"/>
              <w:jc w:val="right"/>
            </w:pPr>
            <w:r>
              <w:t xml:space="preserve">1.67</w:t>
            </w:r>
          </w:p>
        </w:tc>
        <w:tc>
          <w:tcPr/>
          <w:p>
            <w:pPr>
              <w:pStyle w:val="Compact"/>
              <w:jc w:val="center"/>
            </w:pPr>
            <w:r>
              <w:t xml:space="preserve">[0.61, 3.64]</w:t>
            </w:r>
          </w:p>
        </w:tc>
        <w:tc>
          <w:tcPr/>
          <w:p>
            <w:pPr>
              <w:pStyle w:val="Compact"/>
              <w:jc w:val="right"/>
            </w:pPr>
            <w:r>
              <w:t xml:space="preserve">7.2</w:t>
            </w:r>
          </w:p>
        </w:tc>
        <w:tc>
          <w:tcPr/>
          <w:p>
            <w:pPr>
              <w:pStyle w:val="Compact"/>
              <w:jc w:val="right"/>
            </w:pPr>
            <w:r>
              <w:t xml:space="preserve">0.61</w:t>
            </w:r>
          </w:p>
        </w:tc>
      </w:tr>
      <w:tr>
        <w:tc>
          <w:tcPr/>
          <w:p>
            <w:pPr>
              <w:pStyle w:val="Compact"/>
              <w:jc w:val="left"/>
            </w:pPr>
            <w:r>
              <w:t xml:space="preserve">Gemma</w:t>
            </w:r>
          </w:p>
        </w:tc>
        <w:tc>
          <w:tcPr/>
          <w:p>
            <w:pPr>
              <w:pStyle w:val="Compact"/>
              <w:jc w:val="right"/>
            </w:pPr>
            <w:r>
              <w:t xml:space="preserve">3</w:t>
            </w:r>
          </w:p>
        </w:tc>
        <w:tc>
          <w:tcPr/>
          <w:p>
            <w:pPr>
              <w:pStyle w:val="Compact"/>
              <w:jc w:val="right"/>
            </w:pPr>
            <w:r>
              <w:t xml:space="preserve">2.60</w:t>
            </w:r>
          </w:p>
        </w:tc>
        <w:tc>
          <w:tcPr/>
          <w:p>
            <w:pPr>
              <w:pStyle w:val="Compact"/>
              <w:jc w:val="right"/>
            </w:pPr>
            <w:r>
              <w:t xml:space="preserve">1.15</w:t>
            </w:r>
          </w:p>
        </w:tc>
        <w:tc>
          <w:tcPr/>
          <w:p>
            <w:pPr>
              <w:pStyle w:val="Compact"/>
              <w:jc w:val="center"/>
            </w:pPr>
            <w:r>
              <w:t xml:space="preserve">[0.24, 3.37]</w:t>
            </w:r>
          </w:p>
        </w:tc>
        <w:tc>
          <w:tcPr/>
          <w:p>
            <w:pPr>
              <w:pStyle w:val="Compact"/>
              <w:jc w:val="right"/>
            </w:pPr>
            <w:r>
              <w:t xml:space="preserve">10.4</w:t>
            </w:r>
          </w:p>
        </w:tc>
        <w:tc>
          <w:tcPr/>
          <w:p>
            <w:pPr>
              <w:pStyle w:val="Compact"/>
              <w:jc w:val="right"/>
            </w:pPr>
            <w:r>
              <w:t xml:space="preserve">0.50</w:t>
            </w:r>
          </w:p>
        </w:tc>
      </w:tr>
      <w:tr>
        <w:tc>
          <w:tcPr/>
          <w:p>
            <w:pPr>
              <w:pStyle w:val="Compact"/>
              <w:jc w:val="left"/>
            </w:pPr>
            <w:r>
              <w:t xml:space="preserve">Phi</w:t>
            </w:r>
          </w:p>
        </w:tc>
        <w:tc>
          <w:tcPr/>
          <w:p>
            <w:pPr>
              <w:pStyle w:val="Compact"/>
              <w:jc w:val="right"/>
            </w:pPr>
            <w:r>
              <w:t xml:space="preserve">4</w:t>
            </w:r>
          </w:p>
        </w:tc>
        <w:tc>
          <w:tcPr/>
          <w:p>
            <w:pPr>
              <w:pStyle w:val="Compact"/>
              <w:jc w:val="right"/>
            </w:pPr>
            <w:r>
              <w:t xml:space="preserve">3.05</w:t>
            </w:r>
          </w:p>
        </w:tc>
        <w:tc>
          <w:tcPr/>
          <w:p>
            <w:pPr>
              <w:pStyle w:val="Compact"/>
              <w:jc w:val="right"/>
            </w:pPr>
            <w:r>
              <w:t xml:space="preserve">1.31</w:t>
            </w:r>
          </w:p>
        </w:tc>
        <w:tc>
          <w:tcPr/>
          <w:p>
            <w:pPr>
              <w:pStyle w:val="Compact"/>
              <w:jc w:val="center"/>
            </w:pPr>
            <w:r>
              <w:t xml:space="preserve">[0.36, 3.36]</w:t>
            </w:r>
          </w:p>
        </w:tc>
        <w:tc>
          <w:tcPr/>
          <w:p>
            <w:pPr>
              <w:pStyle w:val="Compact"/>
              <w:jc w:val="right"/>
            </w:pPr>
            <w:r>
              <w:t xml:space="preserve">9.1</w:t>
            </w:r>
          </w:p>
        </w:tc>
        <w:tc>
          <w:tcPr/>
          <w:p>
            <w:pPr>
              <w:pStyle w:val="Compact"/>
              <w:jc w:val="right"/>
            </w:pPr>
            <w:r>
              <w:t xml:space="preserve">0.18</w:t>
            </w:r>
          </w:p>
        </w:tc>
      </w:tr>
      <w:tr>
        <w:tc>
          <w:tcPr/>
          <w:p>
            <w:pPr>
              <w:pStyle w:val="Compact"/>
              <w:jc w:val="left"/>
            </w:pPr>
            <w:r>
              <w:t xml:space="preserve">Qwen</w:t>
            </w:r>
          </w:p>
        </w:tc>
        <w:tc>
          <w:tcPr/>
          <w:p>
            <w:pPr>
              <w:pStyle w:val="Compact"/>
              <w:jc w:val="right"/>
            </w:pPr>
            <w:r>
              <w:t xml:space="preserve">8</w:t>
            </w:r>
          </w:p>
        </w:tc>
        <w:tc>
          <w:tcPr/>
          <w:p>
            <w:pPr>
              <w:pStyle w:val="Compact"/>
              <w:jc w:val="right"/>
            </w:pPr>
            <w:r>
              <w:t xml:space="preserve">3.15</w:t>
            </w:r>
          </w:p>
        </w:tc>
        <w:tc>
          <w:tcPr/>
          <w:p>
            <w:pPr>
              <w:pStyle w:val="Compact"/>
              <w:jc w:val="right"/>
            </w:pPr>
            <w:r>
              <w:t xml:space="preserve">2.54</w:t>
            </w:r>
          </w:p>
        </w:tc>
        <w:tc>
          <w:tcPr/>
          <w:p>
            <w:pPr>
              <w:pStyle w:val="Compact"/>
              <w:jc w:val="center"/>
            </w:pPr>
            <w:r>
              <w:t xml:space="preserve">[1.10, 5.00]</w:t>
            </w:r>
          </w:p>
        </w:tc>
        <w:tc>
          <w:tcPr/>
          <w:p>
            <w:pPr>
              <w:pStyle w:val="Compact"/>
              <w:jc w:val="right"/>
            </w:pPr>
            <w:r>
              <w:t xml:space="preserve">4.7</w:t>
            </w:r>
          </w:p>
        </w:tc>
        <w:tc>
          <w:tcPr/>
          <w:p>
            <w:pPr>
              <w:pStyle w:val="Compact"/>
              <w:jc w:val="right"/>
            </w:pPr>
            <w:r>
              <w:t xml:space="preserve">0.44</w:t>
            </w:r>
          </w:p>
        </w:tc>
      </w:tr>
      <w:tr>
        <w:tc>
          <w:tcPr/>
          <w:p>
            <w:pPr>
              <w:pStyle w:val="Compact"/>
              <w:jc w:val="left"/>
            </w:pPr>
            <w:r>
              <w:t xml:space="preserve">Mistral</w:t>
            </w:r>
          </w:p>
        </w:tc>
        <w:tc>
          <w:tcPr/>
          <w:p>
            <w:pPr>
              <w:pStyle w:val="Compact"/>
              <w:jc w:val="right"/>
            </w:pPr>
            <w:r>
              <w:t xml:space="preserve">8</w:t>
            </w:r>
          </w:p>
        </w:tc>
        <w:tc>
          <w:tcPr/>
          <w:p>
            <w:pPr>
              <w:pStyle w:val="Compact"/>
              <w:jc w:val="right"/>
            </w:pPr>
            <w:r>
              <w:t xml:space="preserve">3.00</w:t>
            </w:r>
          </w:p>
        </w:tc>
        <w:tc>
          <w:tcPr/>
          <w:p>
            <w:pPr>
              <w:pStyle w:val="Compact"/>
              <w:jc w:val="right"/>
            </w:pPr>
            <w:r>
              <w:t xml:space="preserve">2.66</w:t>
            </w:r>
          </w:p>
        </w:tc>
        <w:tc>
          <w:tcPr/>
          <w:p>
            <w:pPr>
              <w:pStyle w:val="Compact"/>
              <w:jc w:val="center"/>
            </w:pPr>
            <w:r>
              <w:t xml:space="preserve">[1.15, 5.25]</w:t>
            </w:r>
          </w:p>
        </w:tc>
        <w:tc>
          <w:tcPr/>
          <w:p>
            <w:pPr>
              <w:pStyle w:val="Compact"/>
              <w:jc w:val="right"/>
            </w:pPr>
            <w:r>
              <w:t xml:space="preserve">4.5</w:t>
            </w:r>
          </w:p>
        </w:tc>
        <w:tc>
          <w:tcPr/>
          <w:p>
            <w:pPr>
              <w:pStyle w:val="Compact"/>
              <w:jc w:val="right"/>
            </w:pPr>
            <w:r>
              <w:t xml:space="preserve">0.70</w:t>
            </w:r>
          </w:p>
        </w:tc>
      </w:tr>
      <w:tr>
        <w:tc>
          <w:tcPr/>
          <w:p>
            <w:pPr>
              <w:pStyle w:val="Compact"/>
              <w:jc w:val="left"/>
            </w:pPr>
            <w:r>
              <w:t xml:space="preserve">DeepSeek</w:t>
            </w:r>
          </w:p>
        </w:tc>
        <w:tc>
          <w:tcPr/>
          <w:p>
            <w:pPr>
              <w:pStyle w:val="Compact"/>
              <w:jc w:val="right"/>
            </w:pPr>
            <w:r>
              <w:t xml:space="preserve">7</w:t>
            </w:r>
          </w:p>
        </w:tc>
        <w:tc>
          <w:tcPr/>
          <w:p>
            <w:pPr>
              <w:pStyle w:val="Compact"/>
              <w:jc w:val="right"/>
            </w:pPr>
            <w:r>
              <w:t xml:space="preserve">2.83</w:t>
            </w:r>
          </w:p>
        </w:tc>
        <w:tc>
          <w:tcPr/>
          <w:p>
            <w:pPr>
              <w:pStyle w:val="Compact"/>
              <w:jc w:val="right"/>
            </w:pPr>
            <w:r>
              <w:t xml:space="preserve">2.47</w:t>
            </w:r>
          </w:p>
        </w:tc>
        <w:tc>
          <w:tcPr/>
          <w:p>
            <w:pPr>
              <w:pStyle w:val="Compact"/>
              <w:jc w:val="center"/>
            </w:pPr>
            <w:r>
              <w:t xml:space="preserve">[0.99, 5.10]</w:t>
            </w:r>
          </w:p>
        </w:tc>
        <w:tc>
          <w:tcPr/>
          <w:p>
            <w:pPr>
              <w:pStyle w:val="Compact"/>
              <w:jc w:val="right"/>
            </w:pPr>
            <w:r>
              <w:t xml:space="preserve">4.9</w:t>
            </w:r>
          </w:p>
        </w:tc>
        <w:tc>
          <w:tcPr/>
          <w:p>
            <w:pPr>
              <w:pStyle w:val="Compact"/>
              <w:jc w:val="right"/>
            </w:pPr>
            <w:r>
              <w:t xml:space="preserve">0.31</w:t>
            </w:r>
          </w:p>
        </w:tc>
      </w:tr>
      <w:tr>
        <w:tc>
          <w:tcPr/>
          <w:p>
            <w:pPr>
              <w:pStyle w:val="Compact"/>
              <w:jc w:val="left"/>
            </w:pPr>
            <w:r>
              <w:t xml:space="preserve">Pooled</w:t>
            </w:r>
          </w:p>
        </w:tc>
        <w:tc>
          <w:tcPr/>
          <w:p>
            <w:pPr>
              <w:pStyle w:val="Compact"/>
              <w:jc w:val="right"/>
            </w:pPr>
            <w:r>
              <w:t xml:space="preserve">36</w:t>
            </w:r>
          </w:p>
        </w:tc>
        <w:tc>
          <w:tcPr/>
          <w:p>
            <w:pPr>
              <w:pStyle w:val="Compact"/>
              <w:jc w:val="right"/>
            </w:pPr>
            <w:r>
              <w:t xml:space="preserve">18.23</w:t>
            </w:r>
          </w:p>
        </w:tc>
        <w:tc>
          <w:tcPr/>
          <w:p>
            <w:pPr>
              <w:pStyle w:val="Compact"/>
              <w:jc w:val="right"/>
            </w:pPr>
            <w:r>
              <w:t xml:space="preserve">1.97</w:t>
            </w:r>
          </w:p>
        </w:tc>
        <w:tc>
          <w:tcPr/>
          <w:p>
            <w:pPr>
              <w:pStyle w:val="Compact"/>
              <w:jc w:val="center"/>
            </w:pPr>
            <w:r>
              <w:t xml:space="preserve">—</w:t>
            </w:r>
          </w:p>
        </w:tc>
        <w:tc>
          <w:tcPr/>
          <w:p>
            <w:pPr>
              <w:pStyle w:val="Compact"/>
              <w:jc w:val="right"/>
            </w:pPr>
            <w:r>
              <w:t xml:space="preserve">6.1</w:t>
            </w:r>
          </w:p>
        </w:tc>
        <w:tc>
          <w:tcPr/>
          <w:p>
            <w:pPr>
              <w:pStyle w:val="Compact"/>
              <w:jc w:val="right"/>
            </w:pPr>
            <w:r>
              <w:t xml:space="preserve">0.46</w:t>
            </w:r>
          </w:p>
        </w:tc>
      </w:tr>
    </w:tbl>
    <w:p>
      <w:pPr>
        <w:pStyle w:val="BodyText"/>
      </w:pPr>
      <w:r>
        <w:rPr>
          <w:iCs/>
          <w:i/>
        </w:rPr>
        <w:t xml:space="preserve">Table 3. Estimated upgrade intensity, primary definition (window to 28 September 2026).</w:t>
      </w:r>
    </w:p>
    <w:p>
      <w:pPr>
        <w:pStyle w:val="BodyText"/>
      </w:pPr>
      <w:r>
        <w:t xml:space="preserve">The pooled rate is 1.97 per year. A likelihood-ratio test does not reject a common primary rate across families (</w:t>
      </w:r>
      <m:oMath>
        <m:sSup>
          <m:e>
            <m:r>
              <m:t>χ</m:t>
            </m:r>
          </m:e>
          <m:sup>
            <m:r>
              <m:t>2</m:t>
            </m:r>
          </m:sup>
        </m:sSup>
        <m:d>
          <m:dPr>
            <m:begChr m:val="("/>
            <m:endChr m:val=")"/>
            <m:sepChr m:val=""/>
            <m:grow/>
          </m:dPr>
          <m:e>
            <m:r>
              <m:t>5</m:t>
            </m:r>
          </m:e>
        </m:d>
        <m:r>
          <m:rPr>
            <m:sty m:val="p"/>
          </m:rPr>
          <m:t>=</m:t>
        </m:r>
        <m:r>
          <m:t>3.43</m:t>
        </m:r>
      </m:oMath>
      <w:r>
        <w:t xml:space="preserve">,</w:t>
      </w:r>
      <w:r>
        <w:t xml:space="preserve"> </w:t>
      </w:r>
      <m:oMath>
        <m:r>
          <m:t>p</m:t>
        </m:r>
        <m:r>
          <m:rPr>
            <m:sty m:val="p"/>
          </m:rPr>
          <m:t>=</m:t>
        </m:r>
        <m:r>
          <m:t>0.63</m:t>
        </m:r>
      </m:oMath>
      <w:r>
        <w:t xml:space="preserve">). The rate was 2.18 before 2025 and 1.82 after (</w:t>
      </w:r>
      <m:oMath>
        <m:r>
          <m:t>p</m:t>
        </m:r>
        <m:r>
          <m:rPr>
            <m:sty m:val="p"/>
          </m:rPr>
          <m:t>=</m:t>
        </m:r>
        <m:r>
          <m:t>0.62</m:t>
        </m:r>
      </m:oMath>
      <w:r>
        <w:t xml:space="preserve">). Under the broad definition the pooled rate rises to 3.40 and family rates differ (</w:t>
      </w:r>
      <m:oMath>
        <m:r>
          <m:t>p</m:t>
        </m:r>
        <m:r>
          <m:rPr>
            <m:sty m:val="p"/>
          </m:rPr>
          <m:t>=</m:t>
        </m:r>
        <m:r>
          <m:t>0.04</m:t>
        </m:r>
      </m:oMath>
      <w:r>
        <w:t xml:space="preserve">). Gaps are more regular than exponential: the mean coefficient of variation is 0.46. Platforms can also stop. Llama has had no subsequent open-weight main-line release for 17.8 months as of the window end.</w:t>
      </w:r>
    </w:p>
    <w:p>
      <w:pPr>
        <w:pStyle w:val="BodyText"/>
      </w:pPr>
      <w:r>
        <w:rPr>
          <w:iCs/>
          <w:i/>
        </w:rPr>
        <w:t xml:space="preserve">[Figure 2 here: open-weight release histories, 2023 to September 2026. Reuse the figure from the original submission.]</w:t>
      </w:r>
    </w:p>
    <w:bookmarkEnd w:id="24"/>
    <w:bookmarkStart w:id="25" w:name="Xd8cb3568ba448fef1dfc4ac4595aad5128aa135"/>
    <w:p>
      <w:pPr>
        <w:pStyle w:val="Heading3"/>
      </w:pPr>
      <w:r>
        <w:t xml:space="preserve">3.3 Stylized fact 2: recovery collapses with upgrade size</w:t>
      </w:r>
    </w:p>
    <w:p>
      <w:pPr>
        <w:pStyle w:val="FirstParagraph"/>
      </w:pPr>
      <w:r>
        <w:t xml:space="preserve">On five open model pairs that share a tokenizer, a rank-8 adapter was trained on the source, retrained on the target, copied, and transferred with a calibration method that reduces to copy as its regularization diverges (Online Appendix B). After two small Pythia continued-training upgrades, copy recovered 0.945 and 0.940 of the retraining gain. After a large Pythia upgrade, copy recovered 0.051 and the calibration method 0.500. Base-to-instruct upgrades sat in between. Compute-only cost ratios for the calibration method were 0.33 to 0.61 of retraining and overstate the economic ratio because they omit data acquisition and revalidation. Small upgrades look like high-</w:t>
      </w:r>
      <m:oMath>
        <m:r>
          <m:t>R</m:t>
        </m:r>
      </m:oMath>
      <w:r>
        <w:t xml:space="preserve"> </w:t>
      </w:r>
      <w:r>
        <w:t xml:space="preserve">free copy; large upgrades open a gap that a costly method can fill if and only if its cost is below</w:t>
      </w:r>
      <w:r>
        <w:t xml:space="preserve"> </w:t>
      </w:r>
      <m:oMath>
        <m:r>
          <m:t>Γ</m:t>
        </m:r>
      </m:oMath>
      <w:r>
        <w:t xml:space="preserve">.</w:t>
      </w:r>
    </w:p>
    <w:bookmarkEnd w:id="25"/>
    <w:bookmarkEnd w:id="26"/>
    <w:bookmarkStart w:id="27" w:name="X495cb863876bbef3f6ffba70a9e73102f2d8a6f"/>
    <w:p>
      <w:pPr>
        <w:pStyle w:val="Heading2"/>
      </w:pPr>
      <w:r>
        <w:t xml:space="preserve">4. Microfoundation: The Firm’s Maintenance Option</w:t>
      </w:r>
    </w:p>
    <w:p>
      <w:pPr>
        <w:pStyle w:val="FirstParagraph"/>
      </w:pPr>
      <w:r>
        <w:t xml:space="preserve">Let</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be the expected present-value multiplier on lost flow until Poisson expiry. The underlying asset of the retraining option is</w:t>
      </w:r>
      <w:r>
        <w:t xml:space="preserve"> </w:t>
      </w:r>
      <m:oMath>
        <m:r>
          <m:t>k</m:t>
        </m:r>
        <m:d>
          <m:dPr>
            <m:begChr m:val="("/>
            <m:endChr m:val=")"/>
            <m:sepChr m:val=""/>
            <m:grow/>
          </m:dPr>
          <m:e>
            <m:r>
              <m:t>R</m:t>
            </m:r>
          </m:e>
        </m:d>
        <m:r>
          <m:t>v</m:t>
        </m:r>
      </m:oMath>
      <w:r>
        <w:t xml:space="preserve">, the strike is</w:t>
      </w:r>
      <w:r>
        <w:t xml:space="preserve"> </w:t>
      </w:r>
      <m:oMath>
        <m:sSub>
          <m:e>
            <m:r>
              <m:t>C</m:t>
            </m:r>
          </m:e>
          <m:sub>
            <m:r>
              <m:t>N</m:t>
            </m:r>
          </m:sub>
        </m:sSub>
      </m:oMath>
      <w:r>
        <w:t xml:space="preserve">, and expiry is the next upgrade. Let</w:t>
      </w:r>
      <w:r>
        <w:t xml:space="preserve"> </w:t>
      </w:r>
      <m:oMath>
        <m:r>
          <m:t>β</m:t>
        </m:r>
        <m:r>
          <m:rPr>
            <m:sty m:val="p"/>
          </m:rPr>
          <m:t>&gt;</m:t>
        </m:r>
        <m:r>
          <m:t>1</m:t>
        </m:r>
      </m:oMath>
      <w:r>
        <w:t xml:space="preserve"> </w:t>
      </w:r>
      <w:r>
        <w:t xml:space="preserve">be the positive root of</w:t>
      </w:r>
      <w:r>
        <w:t xml:space="preserve"> </w:t>
      </w:r>
      <m:oMath>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w:t>
      </w:r>
    </w:p>
    <w:p>
      <w:pPr>
        <w:pStyle w:val="BodyText"/>
      </w:pPr>
      <w:r>
        <w:rPr>
          <w:bCs/>
          <w:b/>
        </w:rPr>
        <w:t xml:space="preserve">Proposition 1 (Retraining threshold).</w:t>
      </w:r>
      <w:r>
        <w:t xml:space="preserve"> </w:t>
      </w:r>
      <w:r>
        <w:t xml:space="preserve">For a firm operating at recovery</w:t>
      </w:r>
      <w:r>
        <w:t xml:space="preserve"> </w:t>
      </w:r>
      <m:oMath>
        <m:r>
          <m:t>R</m:t>
        </m:r>
        <m:r>
          <m:rPr>
            <m:sty m:val="p"/>
          </m:rPr>
          <m:t>&lt;</m:t>
        </m:r>
        <m:r>
          <m:t>1</m:t>
        </m:r>
      </m:oMath>
      <w:r>
        <w:t xml:space="preserve">, it is optimal to retrain the first time</w:t>
      </w:r>
      <w:r>
        <w:t xml:space="preserve"> </w:t>
      </w:r>
      <m:oMath>
        <m:r>
          <m:t>v</m:t>
        </m:r>
      </m:oMath>
      <w:r>
        <w:t xml:space="preserve"> </w:t>
      </w:r>
      <w:r>
        <w:t xml:space="preserve">reaches</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oMath>
      </m:oMathPara>
    </w:p>
    <w:p>
      <w:pPr>
        <w:pStyle w:val="FirstParagraph"/>
      </w:pPr>
      <w:r>
        <w:t xml:space="preserve">For</w:t>
      </w:r>
      <w:r>
        <w:t xml:space="preserve"> </w:t>
      </w:r>
      <m:oMath>
        <m:r>
          <m:t>v</m:t>
        </m:r>
        <m:r>
          <m:rPr>
            <m:sty m:val="p"/>
          </m:rPr>
          <m:t>&lt;</m:t>
        </m:r>
        <m:sSup>
          <m:e>
            <m:r>
              <m:t>v</m:t>
            </m:r>
          </m:e>
          <m:sup>
            <m:r>
              <m:rPr>
                <m:sty m:val="p"/>
              </m:rPr>
              <m:t>*</m:t>
            </m:r>
          </m:sup>
        </m:sSup>
      </m:oMath>
      <w:r>
        <w:t xml:space="preserve"> </w:t>
      </w:r>
      <w:r>
        <w:t xml:space="preserve">the option value is</w:t>
      </w:r>
      <w:r>
        <w:t xml:space="preserve"> </w:t>
      </w:r>
      <m:oMath>
        <m:r>
          <m:t>F</m:t>
        </m:r>
        <m:d>
          <m:dPr>
            <m:begChr m:val="("/>
            <m:endChr m:val=")"/>
            <m:sepChr m:val=""/>
            <m:grow/>
          </m:dPr>
          <m:e>
            <m:r>
              <m:t>v</m:t>
            </m:r>
          </m:e>
        </m:d>
        <m:r>
          <m:rPr>
            <m:sty m:val="p"/>
          </m:rPr>
          <m:t>=</m:t>
        </m:r>
        <m:d>
          <m:dPr>
            <m:begChr m:val="("/>
            <m:endChr m:val=")"/>
            <m:sepChr m:val=""/>
            <m:grow/>
          </m:dPr>
          <m:e>
            <m:r>
              <m:t>k</m:t>
            </m:r>
            <m:sSup>
              <m:e>
                <m:r>
                  <m:t>v</m:t>
                </m:r>
              </m:e>
              <m:sup>
                <m:r>
                  <m:rPr>
                    <m:sty m:val="p"/>
                  </m:rPr>
                  <m:t>*</m:t>
                </m:r>
              </m:sup>
            </m:sSup>
            <m:r>
              <m:rPr>
                <m:sty m:val="p"/>
              </m:rPr>
              <m:t>−</m:t>
            </m:r>
            <m:sSub>
              <m:e>
                <m:r>
                  <m:t>C</m:t>
                </m:r>
              </m:e>
              <m:sub>
                <m:r>
                  <m:t>N</m:t>
                </m:r>
              </m:sub>
            </m:sSub>
          </m:e>
        </m:d>
        <m:sSup>
          <m:e>
            <m:d>
              <m:dPr>
                <m:begChr m:val="("/>
                <m:endChr m:val=")"/>
                <m:sepChr m:val=""/>
                <m:grow/>
              </m:dPr>
              <m:e>
                <m:r>
                  <m:t>v</m:t>
                </m:r>
                <m:r>
                  <m:rPr>
                    <m:sty m:val="p"/>
                  </m:rPr>
                  <m:t>/</m:t>
                </m:r>
                <m:sSup>
                  <m:e>
                    <m:r>
                      <m:t>v</m:t>
                    </m:r>
                  </m:e>
                  <m:sup>
                    <m:r>
                      <m:rPr>
                        <m:sty m:val="p"/>
                      </m:rPr>
                      <m:t>*</m:t>
                    </m:r>
                  </m:sup>
                </m:sSup>
              </m:e>
            </m:d>
          </m:e>
          <m:sup>
            <m:r>
              <m:t>β</m:t>
            </m:r>
          </m:sup>
        </m:sSup>
      </m:oMath>
      <w:r>
        <w:t xml:space="preserve">.</w:t>
      </w:r>
    </w:p>
    <w:p>
      <w:pPr>
        <w:pStyle w:val="BodyText"/>
      </w:pPr>
      <w:r>
        <w:rPr>
          <w:bCs/>
          <w:b/>
        </w:rPr>
        <w:t xml:space="preserve">Proposition 2 (Comparative statics).</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w:t>
      </w:r>
      <w:r>
        <w:t xml:space="preserve"> </w:t>
      </w:r>
      <m:oMath>
        <m:r>
          <m:t>μ</m:t>
        </m:r>
      </m:oMath>
      <w:r>
        <w:t xml:space="preserve">, and in</w:t>
      </w:r>
      <w:r>
        <w:t xml:space="preserve"> </w:t>
      </w:r>
      <m:oMath>
        <m:r>
          <m:t>σ</m:t>
        </m:r>
      </m:oMath>
      <w:r>
        <w:t xml:space="preserve">, and strictly exceeds the NPV threshold</w:t>
      </w:r>
      <w:r>
        <w:t xml:space="preserve"> </w:t>
      </w:r>
      <m:oMath>
        <m:sSub>
          <m:e>
            <m:r>
              <m:t>C</m:t>
            </m:r>
          </m:e>
          <m:sub>
            <m:r>
              <m:t>N</m:t>
            </m:r>
          </m:sub>
        </m:sSub>
        <m:r>
          <m:rPr>
            <m:sty m:val="p"/>
          </m:rPr>
          <m:t>/</m:t>
        </m:r>
        <m:r>
          <m:t>k</m:t>
        </m:r>
        <m:d>
          <m:dPr>
            <m:begChr m:val="("/>
            <m:endChr m:val=")"/>
            <m:sepChr m:val=""/>
            <m:grow/>
          </m:dPr>
          <m:e>
            <m:r>
              <m:t>R</m:t>
            </m:r>
          </m:e>
        </m:d>
      </m:oMath>
      <w:r>
        <w:t xml:space="preserve">.</w:t>
      </w:r>
    </w:p>
    <w:p>
      <w:pPr>
        <w:pStyle w:val="BodyText"/>
      </w:pPr>
      <w:r>
        <w:t xml:space="preserve">At</w:t>
      </w:r>
      <w:r>
        <w:t xml:space="preserve"> </w:t>
      </w:r>
      <m:oMath>
        <m:r>
          <m:t>ρ</m:t>
        </m:r>
        <m:r>
          <m:rPr>
            <m:sty m:val="p"/>
          </m:rPr>
          <m:t>=</m:t>
        </m:r>
        <m:r>
          <m:t>0.10</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μ</m:t>
        </m:r>
        <m:r>
          <m:rPr>
            <m:sty m:val="p"/>
          </m:rPr>
          <m:t>=</m:t>
        </m:r>
        <m:r>
          <m:t>2</m:t>
        </m:r>
      </m:oMath>
      <w:r>
        <w:t xml:space="preserve"> </w:t>
      </w:r>
      <w:r>
        <w:t xml:space="preserve">one has</w:t>
      </w:r>
      <w:r>
        <w:t xml:space="preserve"> </w:t>
      </w:r>
      <m:oMath>
        <m:r>
          <m:t>β</m:t>
        </m:r>
        <m:r>
          <m:rPr>
            <m:sty m:val="p"/>
          </m:rPr>
          <m:t>≈</m:t>
        </m:r>
        <m:r>
          <m:t>4.43</m:t>
        </m:r>
      </m:oMath>
      <w:r>
        <w:t xml:space="preserve"> </w:t>
      </w:r>
      <w:r>
        <w:t xml:space="preserve">and</w:t>
      </w:r>
      <w:r>
        <w:t xml:space="preserve"> </w:t>
      </w:r>
      <m:oMath>
        <m:r>
          <m:t>β</m:t>
        </m:r>
        <m:r>
          <m:rPr>
            <m:sty m:val="p"/>
          </m:rPr>
          <m:t>/</m:t>
        </m:r>
        <m:d>
          <m:dPr>
            <m:begChr m:val="("/>
            <m:endChr m:val=")"/>
            <m:sepChr m:val=""/>
            <m:grow/>
          </m:dPr>
          <m:e>
            <m:r>
              <m:t>β</m:t>
            </m:r>
            <m:r>
              <m:rPr>
                <m:sty m:val="p"/>
              </m:rPr>
              <m:t>−</m:t>
            </m:r>
            <m:r>
              <m:t>1</m:t>
            </m:r>
          </m:e>
        </m:d>
        <m:r>
          <m:rPr>
            <m:sty m:val="p"/>
          </m:rPr>
          <m:t>≈</m:t>
        </m:r>
        <m:r>
          <m:t>1.29</m:t>
        </m:r>
      </m:oMath>
      <w:r>
        <w:t xml:space="preserve">. Write</w:t>
      </w:r>
      <w:r>
        <w:t xml:space="preserve"> </w:t>
      </w:r>
      <m:oMath>
        <m:sSub>
          <m:e>
            <m:r>
              <m:t>W</m:t>
            </m:r>
          </m:e>
          <m:sub>
            <m:r>
              <m:t>j</m:t>
            </m:r>
          </m:sub>
        </m:sSub>
        <m:d>
          <m:dPr>
            <m:begChr m:val="("/>
            <m:endChr m:val=")"/>
            <m:sepChr m:val=""/>
            <m:grow/>
          </m:dPr>
          <m:e>
            <m:r>
              <m:t>v</m:t>
            </m:r>
          </m:e>
        </m:d>
      </m:oMath>
      <w:r>
        <w:t xml:space="preserve"> </w:t>
      </w:r>
      <w:r>
        <w:t xml:space="preserve">for the expected total cost of transferring with method</w:t>
      </w:r>
      <w:r>
        <w:t xml:space="preserve"> </w:t>
      </w:r>
      <m:oMath>
        <m:r>
          <m:t>j</m:t>
        </m:r>
      </m:oMath>
      <w:r>
        <w:t xml:space="preserve"> </w:t>
      </w:r>
      <w:r>
        <w:t xml:space="preserve">and then following the optimal retraining rule. 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otherwise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w:t>
      </w:r>
    </w:p>
    <w:p>
      <w:pPr>
        <w:pStyle w:val="BodyText"/>
      </w:pPr>
      <w:r>
        <w:rPr>
          <w:bCs/>
          <w:b/>
        </w:rPr>
        <w:t xml:space="preserve">Proposition 3 (Weak dominance of copy and the costly-transfer region).</w:t>
      </w:r>
      <w:r>
        <w:t xml:space="preserve"> </w:t>
      </w:r>
      <w:r>
        <w:t xml:space="preserve">(a) For all</w:t>
      </w:r>
      <w:r>
        <w:t xml:space="preserve"> </w:t>
      </w:r>
      <m:oMath>
        <m:r>
          <m:t>v</m:t>
        </m:r>
      </m:oMath>
      <w:r>
        <w:t xml:space="preserve">,</w:t>
      </w:r>
      <w:r>
        <w:t xml:space="preserve"> </w:t>
      </w:r>
      <m:oMath>
        <m:sSub>
          <m:e>
            <m:r>
              <m:t>W</m:t>
            </m:r>
          </m:e>
          <m:sub>
            <m:r>
              <m:t>C</m:t>
            </m:r>
          </m:sub>
        </m:sSub>
        <m:d>
          <m:dPr>
            <m:begChr m:val="("/>
            <m:endChr m:val=")"/>
            <m:sepChr m:val=""/>
            <m:grow/>
          </m:dPr>
          <m:e>
            <m:r>
              <m:t>v</m:t>
            </m:r>
          </m:e>
        </m:d>
        <m:r>
          <m:rPr>
            <m:sty m:val="p"/>
          </m:rPr>
          <m:t>≤</m:t>
        </m:r>
        <m:sSub>
          <m:e>
            <m:r>
              <m:t>C</m:t>
            </m:r>
          </m:e>
          <m:sub>
            <m:r>
              <m:t>N</m:t>
            </m:r>
          </m:sub>
        </m:sSub>
      </m:oMath>
      <w:r>
        <w:t xml:space="preserve">, with equality only on</w:t>
      </w:r>
      <w:r>
        <w:t xml:space="preserve"> </w:t>
      </w:r>
      <m:oMath>
        <m:r>
          <m:t>v</m:t>
        </m:r>
        <m:r>
          <m:rPr>
            <m:sty m:val="p"/>
          </m:rPr>
          <m:t>≥</m:t>
        </m:r>
        <m:sSubSup>
          <m:e>
            <m:r>
              <m:t>v</m:t>
            </m:r>
          </m:e>
          <m:sub>
            <m:r>
              <m:t>C</m:t>
            </m:r>
          </m:sub>
          <m:sup>
            <m:r>
              <m:rPr>
                <m:sty m:val="p"/>
              </m:rPr>
              <m:t>*</m:t>
            </m:r>
          </m:sup>
        </m:sSubSup>
      </m:oMath>
      <w:r>
        <w:t xml:space="preserve">. Immediate retraining is therefore optimal only above the copy threshold. (b) A method</w:t>
      </w:r>
      <w:r>
        <w:t xml:space="preserve"> </w:t>
      </w:r>
      <m:oMath>
        <m:r>
          <m:t>A</m:t>
        </m:r>
      </m:oMath>
      <w:r>
        <w:t xml:space="preserve"> </w:t>
      </w:r>
      <w:r>
        <w:t xml:space="preserve">with</w:t>
      </w:r>
      <w:r>
        <w:t xml:space="preserve"> </w:t>
      </w:r>
      <m:oMath>
        <m:sSub>
          <m:e>
            <m:r>
              <m:t>R</m:t>
            </m:r>
          </m:e>
          <m:sub>
            <m:r>
              <m:t>A</m:t>
            </m:r>
          </m:sub>
        </m:sSub>
        <m:r>
          <m:rPr>
            <m:sty m:val="p"/>
          </m:rPr>
          <m:t>&gt;</m:t>
        </m:r>
        <m:sSub>
          <m:e>
            <m:r>
              <m:t>R</m:t>
            </m:r>
          </m:e>
          <m:sub>
            <m:r>
              <m:t>C</m:t>
            </m:r>
          </m:sub>
        </m:sSub>
      </m:oMath>
      <w:r>
        <w:t xml:space="preserve"> </w:t>
      </w:r>
      <w:r>
        <w:t xml:space="preserve">has a nonempty set of</w:t>
      </w:r>
      <w:r>
        <w:t xml:space="preserve"> </w:t>
      </w:r>
      <m:oMath>
        <m:r>
          <m:t>v</m:t>
        </m:r>
      </m:oMath>
      <w:r>
        <w:t xml:space="preserve"> </w:t>
      </w:r>
      <w:r>
        <w:t xml:space="preserve">at which it is uniquely optimal only if</w:t>
      </w:r>
      <w:r>
        <w:t xml:space="preserve"> </w:t>
      </w:r>
      <m:oMath>
        <m:sSub>
          <m:e>
            <m:r>
              <m:t>C</m:t>
            </m:r>
          </m:e>
          <m:sub>
            <m:r>
              <m:t>A</m:t>
            </m:r>
          </m:sub>
        </m:sSub>
        <m:r>
          <m:rPr>
            <m:sty m:val="p"/>
          </m:rPr>
          <m:t>&lt;</m:t>
        </m:r>
        <m:r>
          <m:t>Γ</m:t>
        </m:r>
        <m:d>
          <m:dPr>
            <m:begChr m:val="("/>
            <m:endChr m:val=")"/>
            <m:sepChr m:val=""/>
            <m:grow/>
          </m:dPr>
          <m:e>
            <m:sSub>
              <m:e>
                <m:r>
                  <m:t>R</m:t>
                </m:r>
              </m:e>
              <m:sub>
                <m:r>
                  <m:t>A</m:t>
                </m:r>
              </m:sub>
            </m:sSub>
            <m:r>
              <m:rPr>
                <m:sty m:val="p"/>
              </m:rPr>
              <m:t>,</m:t>
            </m:r>
            <m:sSub>
              <m:e>
                <m:r>
                  <m:t>R</m:t>
                </m:r>
              </m:e>
              <m:sub>
                <m:r>
                  <m:t>C</m:t>
                </m:r>
              </m:sub>
            </m:sSub>
          </m:e>
        </m:d>
      </m:oMath>
      <w:r>
        <w:t xml:space="preserve">, the maximum reduction in expected cost that</w:t>
      </w:r>
      <w:r>
        <w:t xml:space="preserve"> </w:t>
      </w:r>
      <m:oMath>
        <m:r>
          <m:t>A</m:t>
        </m:r>
      </m:oMath>
      <w:r>
        <w:t xml:space="preserve"> </w:t>
      </w:r>
      <w:r>
        <w:t xml:space="preserve">can deliver relative to copy and to immediate retraining. That set, when it exists, lies strictly between the copy region and the immediate-retraining region.</w:t>
      </w:r>
    </w:p>
    <w:tbl>
      <w:tblPr>
        <w:tblStyle w:val="Table"/>
        <w:tblW w:type="pct" w:w="5000"/>
        <w:tblLook w:firstRow="1" w:lastRow="0" w:firstColumn="0" w:lastColumn="0" w:noHBand="0" w:noVBand="0" w:val="0020"/>
        <w:jc w:val="start"/>
      </w:tblPr>
      <w:tblGrid>
        <w:gridCol w:w="1267"/>
        <w:gridCol w:w="1267"/>
        <w:gridCol w:w="1267"/>
        <w:gridCol w:w="1267"/>
        <w:gridCol w:w="1584"/>
        <w:gridCol w:w="1267"/>
      </w:tblGrid>
      <w:tr>
        <w:trPr>
          <w:tblHeader w:val="true"/>
        </w:trPr>
        <w:tc>
          <w:tcPr/>
          <w:p>
            <w:pPr>
              <w:pStyle w:val="Compact"/>
              <w:jc w:val="left"/>
            </w:pPr>
            <w:r>
              <w:t xml:space="preserve">Family</w:t>
            </w:r>
          </w:p>
        </w:tc>
        <w:tc>
          <w:tcPr/>
          <w:p>
            <w:pPr>
              <w:pStyle w:val="Compact"/>
              <w:jc w:val="right"/>
            </w:pPr>
            <m:oMath>
              <m:acc>
                <m:accPr>
                  <m:chr m:val="̂"/>
                </m:accPr>
                <m:e>
                  <m:r>
                    <m:t>μ</m:t>
                  </m:r>
                </m:e>
              </m:acc>
            </m:oMath>
          </w:p>
        </w:tc>
        <w:tc>
          <w:tcPr/>
          <w:p>
            <w:pPr>
              <w:pStyle w:val="Compact"/>
              <w:jc w:val="right"/>
            </w:pPr>
            <m:oMath>
              <m:sSup>
                <m:e>
                  <m:r>
                    <m:t>v</m:t>
                  </m:r>
                </m:e>
                <m:sup>
                  <m:r>
                    <m:rPr>
                      <m:sty m:val="p"/>
                    </m:rPr>
                    <m:t>*</m:t>
                  </m:r>
                </m:sup>
              </m:sSup>
            </m:oMath>
            <w:r>
              <w:t xml:space="preserve"> </w:t>
            </w:r>
            <w:r>
              <w:t xml:space="preserve">copy</w:t>
            </w:r>
          </w:p>
        </w:tc>
        <w:tc>
          <w:tcPr/>
          <w:p>
            <w:pPr>
              <w:pStyle w:val="Compact"/>
              <w:jc w:val="right"/>
            </w:pPr>
            <m:oMath>
              <m:sSup>
                <m:e>
                  <m:r>
                    <m:t>v</m:t>
                  </m:r>
                </m:e>
                <m:sup>
                  <m:r>
                    <m:rPr>
                      <m:sty m:val="p"/>
                    </m:rPr>
                    <m:t>*</m:t>
                  </m:r>
                </m:sup>
              </m:sSup>
            </m:oMath>
            <w:r>
              <w:t xml:space="preserve"> </w:t>
            </w:r>
            <w:r>
              <w:t xml:space="preserve">transfer</w:t>
            </w:r>
          </w:p>
        </w:tc>
        <w:tc>
          <w:tcPr/>
          <w:p>
            <w:pPr>
              <w:pStyle w:val="Compact"/>
              <w:jc w:val="center"/>
            </w:pPr>
            <w:r>
              <w:t xml:space="preserve">Transfer-optimal band</w:t>
            </w:r>
          </w:p>
        </w:tc>
        <w:tc>
          <w:tcPr/>
          <w:p>
            <w:pPr>
              <w:pStyle w:val="Compact"/>
              <w:jc w:val="right"/>
            </w:pPr>
            <m:oMath>
              <m:r>
                <m:t>Γ</m:t>
              </m:r>
            </m:oMath>
          </w:p>
        </w:tc>
      </w:tr>
      <w:tr>
        <w:tc>
          <w:tcPr/>
          <w:p>
            <w:pPr>
              <w:pStyle w:val="Compact"/>
              <w:jc w:val="left"/>
            </w:pPr>
            <w:r>
              <w:t xml:space="preserve">Gemma</w:t>
            </w:r>
          </w:p>
        </w:tc>
        <w:tc>
          <w:tcPr/>
          <w:p>
            <w:pPr>
              <w:pStyle w:val="Compact"/>
              <w:jc w:val="right"/>
            </w:pPr>
            <w:r>
              <w:t xml:space="preserve">1.15</w:t>
            </w:r>
          </w:p>
        </w:tc>
        <w:tc>
          <w:tcPr/>
          <w:p>
            <w:pPr>
              <w:pStyle w:val="Compact"/>
              <w:jc w:val="right"/>
            </w:pPr>
            <w:r>
              <w:t xml:space="preserve">3.50</w:t>
            </w:r>
          </w:p>
        </w:tc>
        <w:tc>
          <w:tcPr/>
          <w:p>
            <w:pPr>
              <w:pStyle w:val="Compact"/>
              <w:jc w:val="right"/>
            </w:pPr>
            <w:r>
              <w:t xml:space="preserve">6.90</w:t>
            </w:r>
          </w:p>
        </w:tc>
        <w:tc>
          <w:tcPr/>
          <w:p>
            <w:pPr>
              <w:pStyle w:val="Compact"/>
              <w:jc w:val="center"/>
            </w:pPr>
            <w:r>
              <w:t xml:space="preserve">0.25 to 5.66</w:t>
            </w:r>
          </w:p>
        </w:tc>
        <w:tc>
          <w:tcPr/>
          <w:p>
            <w:pPr>
              <w:pStyle w:val="Compact"/>
              <w:jc w:val="right"/>
            </w:pPr>
            <w:r>
              <w:t xml:space="preserve">0.38</w:t>
            </w:r>
          </w:p>
        </w:tc>
      </w:tr>
      <w:tr>
        <w:tc>
          <w:tcPr/>
          <w:p>
            <w:pPr>
              <w:pStyle w:val="Compact"/>
              <w:jc w:val="left"/>
            </w:pPr>
            <w:r>
              <w:t xml:space="preserve">Phi</w:t>
            </w:r>
          </w:p>
        </w:tc>
        <w:tc>
          <w:tcPr/>
          <w:p>
            <w:pPr>
              <w:pStyle w:val="Compact"/>
              <w:jc w:val="right"/>
            </w:pPr>
            <w:r>
              <w:t xml:space="preserve">1.31</w:t>
            </w:r>
          </w:p>
        </w:tc>
        <w:tc>
          <w:tcPr/>
          <w:p>
            <w:pPr>
              <w:pStyle w:val="Compact"/>
              <w:jc w:val="right"/>
            </w:pPr>
            <w:r>
              <w:t xml:space="preserve">3.91</w:t>
            </w:r>
          </w:p>
        </w:tc>
        <w:tc>
          <w:tcPr/>
          <w:p>
            <w:pPr>
              <w:pStyle w:val="Compact"/>
              <w:jc w:val="right"/>
            </w:pPr>
            <w:r>
              <w:t xml:space="preserve">7.72</w:t>
            </w:r>
          </w:p>
        </w:tc>
        <w:tc>
          <w:tcPr/>
          <w:p>
            <w:pPr>
              <w:pStyle w:val="Compact"/>
              <w:jc w:val="center"/>
            </w:pPr>
            <w:r>
              <w:t xml:space="preserve">0.29 to 6.37</w:t>
            </w:r>
          </w:p>
        </w:tc>
        <w:tc>
          <w:tcPr/>
          <w:p>
            <w:pPr>
              <w:pStyle w:val="Compact"/>
              <w:jc w:val="right"/>
            </w:pPr>
            <w:r>
              <w:t xml:space="preserve">0.39</w:t>
            </w:r>
          </w:p>
        </w:tc>
      </w:tr>
      <w:tr>
        <w:tc>
          <w:tcPr/>
          <w:p>
            <w:pPr>
              <w:pStyle w:val="Compact"/>
              <w:jc w:val="left"/>
            </w:pPr>
            <w:r>
              <w:t xml:space="preserve">Llama</w:t>
            </w:r>
          </w:p>
        </w:tc>
        <w:tc>
          <w:tcPr/>
          <w:p>
            <w:pPr>
              <w:pStyle w:val="Compact"/>
              <w:jc w:val="right"/>
            </w:pPr>
            <w:r>
              <w:t xml:space="preserve">1.67</w:t>
            </w:r>
          </w:p>
        </w:tc>
        <w:tc>
          <w:tcPr/>
          <w:p>
            <w:pPr>
              <w:pStyle w:val="Compact"/>
              <w:jc w:val="right"/>
            </w:pPr>
            <w:r>
              <w:t xml:space="preserve">4.84</w:t>
            </w:r>
          </w:p>
        </w:tc>
        <w:tc>
          <w:tcPr/>
          <w:p>
            <w:pPr>
              <w:pStyle w:val="Compact"/>
              <w:jc w:val="right"/>
            </w:pPr>
            <w:r>
              <w:t xml:space="preserve">9.55</w:t>
            </w:r>
          </w:p>
        </w:tc>
        <w:tc>
          <w:tcPr/>
          <w:p>
            <w:pPr>
              <w:pStyle w:val="Compact"/>
              <w:jc w:val="center"/>
            </w:pPr>
            <w:r>
              <w:t xml:space="preserve">0.37 to 7.95</w:t>
            </w:r>
          </w:p>
        </w:tc>
        <w:tc>
          <w:tcPr/>
          <w:p>
            <w:pPr>
              <w:pStyle w:val="Compact"/>
              <w:jc w:val="right"/>
            </w:pPr>
            <w:r>
              <w:t xml:space="preserve">0.40</w:t>
            </w:r>
          </w:p>
        </w:tc>
      </w:tr>
      <w:tr>
        <w:tc>
          <w:tcPr/>
          <w:p>
            <w:pPr>
              <w:pStyle w:val="Compact"/>
              <w:jc w:val="left"/>
            </w:pPr>
            <w:r>
              <w:t xml:space="preserve">DeepSeek</w:t>
            </w:r>
          </w:p>
        </w:tc>
        <w:tc>
          <w:tcPr/>
          <w:p>
            <w:pPr>
              <w:pStyle w:val="Compact"/>
              <w:jc w:val="right"/>
            </w:pPr>
            <w:r>
              <w:t xml:space="preserve">2.47</w:t>
            </w:r>
          </w:p>
        </w:tc>
        <w:tc>
          <w:tcPr/>
          <w:p>
            <w:pPr>
              <w:pStyle w:val="Compact"/>
              <w:jc w:val="right"/>
            </w:pPr>
            <w:r>
              <w:t xml:space="preserve">6.87</w:t>
            </w:r>
          </w:p>
        </w:tc>
        <w:tc>
          <w:tcPr/>
          <w:p>
            <w:pPr>
              <w:pStyle w:val="Compact"/>
              <w:jc w:val="right"/>
            </w:pPr>
            <w:r>
              <w:t xml:space="preserve">13.55</w:t>
            </w:r>
          </w:p>
        </w:tc>
        <w:tc>
          <w:tcPr/>
          <w:p>
            <w:pPr>
              <w:pStyle w:val="Compact"/>
              <w:jc w:val="center"/>
            </w:pPr>
            <w:r>
              <w:t xml:space="preserve">0.56 to 11.49</w:t>
            </w:r>
          </w:p>
        </w:tc>
        <w:tc>
          <w:tcPr/>
          <w:p>
            <w:pPr>
              <w:pStyle w:val="Compact"/>
              <w:jc w:val="right"/>
            </w:pPr>
            <w:r>
              <w:t xml:space="preserve">0.42</w:t>
            </w:r>
          </w:p>
        </w:tc>
      </w:tr>
      <w:tr>
        <w:tc>
          <w:tcPr/>
          <w:p>
            <w:pPr>
              <w:pStyle w:val="Compact"/>
              <w:jc w:val="left"/>
            </w:pPr>
            <w:r>
              <w:t xml:space="preserve">Qwen</w:t>
            </w:r>
          </w:p>
        </w:tc>
        <w:tc>
          <w:tcPr/>
          <w:p>
            <w:pPr>
              <w:pStyle w:val="Compact"/>
              <w:jc w:val="right"/>
            </w:pPr>
            <w:r>
              <w:t xml:space="preserve">2.54</w:t>
            </w:r>
          </w:p>
        </w:tc>
        <w:tc>
          <w:tcPr/>
          <w:p>
            <w:pPr>
              <w:pStyle w:val="Compact"/>
              <w:jc w:val="right"/>
            </w:pPr>
            <w:r>
              <w:t xml:space="preserve">7.05</w:t>
            </w:r>
          </w:p>
        </w:tc>
        <w:tc>
          <w:tcPr/>
          <w:p>
            <w:pPr>
              <w:pStyle w:val="Compact"/>
              <w:jc w:val="right"/>
            </w:pPr>
            <w:r>
              <w:t xml:space="preserve">13.90</w:t>
            </w:r>
          </w:p>
        </w:tc>
        <w:tc>
          <w:tcPr/>
          <w:p>
            <w:pPr>
              <w:pStyle w:val="Compact"/>
              <w:jc w:val="center"/>
            </w:pPr>
            <w:r>
              <w:t xml:space="preserve">0.57 to 11.77</w:t>
            </w:r>
          </w:p>
        </w:tc>
        <w:tc>
          <w:tcPr/>
          <w:p>
            <w:pPr>
              <w:pStyle w:val="Compact"/>
              <w:jc w:val="right"/>
            </w:pPr>
            <w:r>
              <w:t xml:space="preserve">0.42</w:t>
            </w:r>
          </w:p>
        </w:tc>
      </w:tr>
      <w:tr>
        <w:tc>
          <w:tcPr/>
          <w:p>
            <w:pPr>
              <w:pStyle w:val="Compact"/>
              <w:jc w:val="left"/>
            </w:pPr>
            <w:r>
              <w:t xml:space="preserve">Mistral</w:t>
            </w:r>
          </w:p>
        </w:tc>
        <w:tc>
          <w:tcPr/>
          <w:p>
            <w:pPr>
              <w:pStyle w:val="Compact"/>
              <w:jc w:val="right"/>
            </w:pPr>
            <w:r>
              <w:t xml:space="preserve">2.66</w:t>
            </w:r>
          </w:p>
        </w:tc>
        <w:tc>
          <w:tcPr/>
          <w:p>
            <w:pPr>
              <w:pStyle w:val="Compact"/>
              <w:jc w:val="right"/>
            </w:pPr>
            <w:r>
              <w:t xml:space="preserve">7.35</w:t>
            </w:r>
          </w:p>
        </w:tc>
        <w:tc>
          <w:tcPr/>
          <w:p>
            <w:pPr>
              <w:pStyle w:val="Compact"/>
              <w:jc w:val="right"/>
            </w:pPr>
            <w:r>
              <w:t xml:space="preserve">14.49</w:t>
            </w:r>
          </w:p>
        </w:tc>
        <w:tc>
          <w:tcPr/>
          <w:p>
            <w:pPr>
              <w:pStyle w:val="Compact"/>
              <w:jc w:val="center"/>
            </w:pPr>
            <w:r>
              <w:t xml:space="preserve">0.60 to 12.33</w:t>
            </w:r>
          </w:p>
        </w:tc>
        <w:tc>
          <w:tcPr/>
          <w:p>
            <w:pPr>
              <w:pStyle w:val="Compact"/>
              <w:jc w:val="right"/>
            </w:pPr>
            <w:r>
              <w:t xml:space="preserve">0.42</w:t>
            </w:r>
          </w:p>
        </w:tc>
      </w:tr>
    </w:tbl>
    <w:p>
      <w:pPr>
        <w:pStyle w:val="BodyText"/>
      </w:pPr>
      <w:r>
        <w:rPr>
          <w:iCs/>
          <w:i/>
        </w:rPr>
        <w:t xml:space="preserve">Table 4. Firm policy regions at family-specific</w:t>
      </w:r>
      <w:r>
        <w:rPr>
          <w:iCs/>
          <w:i/>
        </w:rPr>
        <w:t xml:space="preserve"> </w:t>
      </w:r>
      <m:oMath>
        <m:r>
          <m:t>μ</m:t>
        </m:r>
      </m:oMath>
      <w:r>
        <w:rPr>
          <w:iCs/>
          <w:i/>
        </w:rPr>
        <w:t xml:space="preserve"> </w:t>
      </w:r>
      <w:r>
        <w:rPr>
          <w:iCs/>
          <w:i/>
        </w:rPr>
        <w:t xml:space="preserve">(</w:t>
      </w:r>
      <m:oMath>
        <m:sSub>
          <m:e>
            <m:r>
              <m:t>R</m:t>
            </m:r>
          </m:e>
          <m:sub>
            <m:r>
              <m:rPr>
                <m:nor/>
                <m:sty m:val="p"/>
              </m:rPr>
              <m:t>copy</m:t>
            </m:r>
          </m:sub>
        </m:sSub>
        <m:r>
          <m:rPr>
            <m:sty m:val="p"/>
          </m:rPr>
          <m:t>=</m:t>
        </m:r>
        <m:r>
          <m:t>0.57</m:t>
        </m:r>
      </m:oMath>
      <w:r>
        <w:rPr>
          <w:iCs/>
          <w:i/>
        </w:rPr>
        <w:t xml:space="preserve">,</w:t>
      </w:r>
      <w:r>
        <w:rPr>
          <w:iCs/>
          <w:i/>
        </w:rPr>
        <w:t xml:space="preserve"> </w:t>
      </w:r>
      <m:oMath>
        <m:sSub>
          <m:e>
            <m:r>
              <m:t>R</m:t>
            </m:r>
          </m:e>
          <m:sub>
            <m:r>
              <m:rPr>
                <m:nor/>
                <m:sty m:val="p"/>
              </m:rPr>
              <m:t>transfer</m:t>
            </m:r>
          </m:sub>
        </m:sSub>
        <m:r>
          <m:rPr>
            <m:sty m:val="p"/>
          </m:rPr>
          <m:t>=</m:t>
        </m:r>
        <m:r>
          <m:t>0.78</m:t>
        </m:r>
      </m:oMath>
      <w:r>
        <w:rPr>
          <w:iCs/>
          <w:i/>
        </w:rPr>
        <w:t xml:space="preserve">,</w:t>
      </w:r>
      <w:r>
        <w:rPr>
          <w:iCs/>
          <w:i/>
        </w:rPr>
        <w:t xml:space="preserve"> </w:t>
      </w:r>
      <m:oMath>
        <m:sSub>
          <m:e>
            <m:r>
              <m:t>C</m:t>
            </m:r>
          </m:e>
          <m:sub>
            <m:r>
              <m:t>A</m:t>
            </m:r>
          </m:sub>
        </m:sSub>
        <m:r>
          <m:rPr>
            <m:sty m:val="p"/>
          </m:rPr>
          <m:t>=</m:t>
        </m:r>
        <m:r>
          <m:t>0.05</m:t>
        </m:r>
        <m:r>
          <m:t> </m:t>
        </m:r>
        <m:sSub>
          <m:e>
            <m:r>
              <m:t>C</m:t>
            </m:r>
          </m:e>
          <m:sub>
            <m:r>
              <m:t>N</m:t>
            </m:r>
          </m:sub>
        </m:sSub>
      </m:oMath>
      <w:r>
        <w:rPr>
          <w:iCs/>
          <w:i/>
        </w:rPr>
        <w:t xml:space="preserve">).</w:t>
      </w:r>
    </w:p>
    <w:p>
      <w:pPr>
        <w:pStyle w:val="BodyText"/>
      </w:pPr>
      <w:r>
        <w:t xml:space="preserve">The platform a firm has already chosen is itself an input to the maintenance rule. Feeding the five measured</w:t>
      </w:r>
      <w:r>
        <w:t xml:space="preserve"> </w:t>
      </w:r>
      <m:oMath>
        <m:d>
          <m:dPr>
            <m:begChr m:val="("/>
            <m:endChr m:val=")"/>
            <m:sepChr m:val=""/>
            <m:grow/>
          </m:dPr>
          <m:e>
            <m:r>
              <m:t>R</m:t>
            </m:r>
            <m:r>
              <m:rPr>
                <m:sty m:val="p"/>
              </m:rPr>
              <m:t>,</m:t>
            </m:r>
            <m:r>
              <m:t>C</m:t>
            </m:r>
          </m:e>
        </m:d>
      </m:oMath>
      <w:r>
        <w:t xml:space="preserve"> </w:t>
      </w:r>
      <w:r>
        <w:t xml:space="preserve">pairs into the same formulas produces an actual transfer-optimal region only for the large Pythia upgrade, where</w:t>
      </w:r>
      <w:r>
        <w:t xml:space="preserve"> </w:t>
      </w:r>
      <m:oMath>
        <m:r>
          <m:t>Γ</m:t>
        </m:r>
        <m:r>
          <m:rPr>
            <m:sty m:val="p"/>
          </m:rPr>
          <m:t>=</m:t>
        </m:r>
        <m:r>
          <m:t>0.39</m:t>
        </m:r>
      </m:oMath>
      <w:r>
        <w:t xml:space="preserve"> </w:t>
      </w:r>
      <w:r>
        <w:t xml:space="preserve">exceeds the compute-only cost ratio 0.33.</w:t>
      </w:r>
    </w:p>
    <w:bookmarkEnd w:id="27"/>
    <w:bookmarkStart w:id="28" w:name="Xc189d8903a9397e97f7593db8944646b3e85dca"/>
    <w:p>
      <w:pPr>
        <w:pStyle w:val="Heading2"/>
      </w:pPr>
      <w:r>
        <w:t xml:space="preserve">5. A Monopoly Platform Owner Chooses Cadence and Compatibility</w:t>
      </w:r>
    </w:p>
    <w:p>
      <w:pPr>
        <w:pStyle w:val="FirstParagraph"/>
      </w:pPr>
      <w:r>
        <w:t xml:space="preserve">To keep the owner’s problem tractable we use the static limit</w:t>
      </w:r>
      <w:r>
        <w:t xml:space="preserve"> </w:t>
      </w:r>
      <m:oMath>
        <m:r>
          <m:t>σ</m:t>
        </m:r>
        <m:r>
          <m:rPr>
            <m:sty m:val="p"/>
          </m:rPr>
          <m:t>=</m:t>
        </m:r>
        <m:r>
          <m:t>g</m:t>
        </m:r>
        <m:r>
          <m:rPr>
            <m:sty m:val="p"/>
          </m:rPr>
          <m:t>=</m:t>
        </m:r>
        <m:r>
          <m:t>0</m:t>
        </m:r>
      </m:oMath>
      <w:r>
        <w:t xml:space="preserve"> </w:t>
      </w:r>
      <w:r>
        <w:t xml:space="preserve">of Section 4. The retraining threshold collapses to</w:t>
      </w:r>
      <w:r>
        <w:t xml:space="preserve"> </w:t>
      </w:r>
      <m:oMath>
        <m:acc>
          <m:accPr>
            <m:chr m:val="̂"/>
          </m:accPr>
          <m:e>
            <m:r>
              <m:t>v</m:t>
            </m:r>
          </m:e>
        </m:acc>
        <m:r>
          <m:rPr>
            <m:sty m:val="p"/>
          </m:rPr>
          <m:t>=</m:t>
        </m:r>
        <m:sSub>
          <m:e>
            <m:r>
              <m:t>C</m:t>
            </m:r>
          </m:e>
          <m:sub>
            <m:r>
              <m:t>N</m:t>
            </m:r>
          </m:sub>
        </m:sSub>
        <m:d>
          <m:dPr>
            <m:begChr m:val="("/>
            <m:endChr m:val=")"/>
            <m:sepChr m:val=""/>
            <m:grow/>
          </m:dPr>
          <m:e>
            <m:r>
              <m:t>ρ</m:t>
            </m:r>
            <m:r>
              <m:rPr>
                <m:sty m:val="p"/>
              </m:rPr>
              <m:t>+</m:t>
            </m:r>
            <m:r>
              <m:t>μ</m:t>
            </m:r>
          </m:e>
        </m:d>
        <m:r>
          <m:rPr>
            <m:sty m:val="p"/>
          </m:rPr>
          <m:t>/</m:t>
        </m:r>
        <m:d>
          <m:dPr>
            <m:begChr m:val="("/>
            <m:endChr m:val=")"/>
            <m:sepChr m:val=""/>
            <m:grow/>
          </m:dPr>
          <m:e>
            <m:r>
              <m:t>1</m:t>
            </m:r>
            <m:r>
              <m:rPr>
                <m:sty m:val="p"/>
              </m:rPr>
              <m:t>−</m:t>
            </m:r>
            <m:r>
              <m:t>R</m:t>
            </m:r>
          </m:e>
        </m:d>
      </m:oMath>
      <w:r>
        <w:t xml:space="preserve">. Section 7.4 re-optimizes the owner’s problem with the dynamic threshold inside the burden function.</w:t>
      </w:r>
    </w:p>
    <w:p>
      <w:pPr>
        <w:pStyle w:val="BodyText"/>
      </w:pPr>
      <w:r>
        <w:t xml:space="preserve">A mass</w:t>
      </w:r>
      <w:r>
        <w:t xml:space="preserve"> </w:t>
      </w:r>
      <m:oMath>
        <m:r>
          <m:t>n</m:t>
        </m:r>
      </m:oMath>
      <w:r>
        <w:t xml:space="preserve"> </w:t>
      </w:r>
      <w:r>
        <w:t xml:space="preserve">of firms each operate one adapter. Values</w:t>
      </w:r>
      <w:r>
        <w:t xml:space="preserve"> </w:t>
      </w:r>
      <m:oMath>
        <m:r>
          <m:t>v</m:t>
        </m:r>
      </m:oMath>
      <w:r>
        <w:t xml:space="preserve"> </w:t>
      </w:r>
      <w:r>
        <w:t xml:space="preserve">are constant and distributed with c.d.f.</w:t>
      </w:r>
      <w:r>
        <w:t xml:space="preserve"> </w:t>
      </w:r>
      <m:oMath>
        <m:r>
          <m:t>F</m:t>
        </m:r>
      </m:oMath>
      <w:r>
        <w:t xml:space="preserve">. Each upgrade permanently raises every firm’s flow by</w:t>
      </w:r>
      <w:r>
        <w:t xml:space="preserve"> </w:t>
      </w:r>
      <m:oMath>
        <m:r>
          <m:t>δ</m:t>
        </m:r>
      </m:oMath>
      <w:r>
        <w:t xml:space="preserve">. Write</w:t>
      </w:r>
      <w:r>
        <w:t xml:space="preserve"> </w:t>
      </w:r>
      <m:oMath>
        <m:r>
          <m:t>b</m:t>
        </m:r>
        <m:r>
          <m:rPr>
            <m:sty m:val="p"/>
          </m:rPr>
          <m:t>=</m:t>
        </m:r>
        <m:r>
          <m:t>δ</m:t>
        </m:r>
        <m:r>
          <m:rPr>
            <m:sty m:val="p"/>
          </m:rPr>
          <m:t>/</m:t>
        </m:r>
        <m:sSup>
          <m:e>
            <m:r>
              <m:t>ρ</m:t>
            </m:r>
          </m:e>
          <m:sup>
            <m:r>
              <m:t>2</m:t>
            </m:r>
          </m:sup>
        </m:sSup>
      </m:oMath>
      <w:r>
        <w:t xml:space="preserve"> </w:t>
      </w:r>
      <w:r>
        <w:t xml:space="preserve">for the present value of a unit intensity of such gains. A firm retrains iff</w:t>
      </w:r>
      <w:r>
        <w:t xml:space="preserve"> </w:t>
      </w:r>
      <m:oMath>
        <m:r>
          <m:t>v</m:t>
        </m:r>
        <m:r>
          <m:rPr>
            <m:sty m:val="p"/>
          </m:rPr>
          <m:t>≥</m:t>
        </m:r>
        <m:acc>
          <m:accPr>
            <m:chr m:val="̂"/>
          </m:accPr>
          <m:e>
            <m:r>
              <m:t>v</m:t>
            </m:r>
          </m:e>
        </m:acc>
      </m:oMath>
      <w:r>
        <w:t xml:space="preserve">. The present value of a cost</w:t>
      </w:r>
      <w:r>
        <w:t xml:space="preserve"> </w:t>
      </w:r>
      <m:oMath>
        <m:r>
          <m:t>w</m:t>
        </m:r>
      </m:oMath>
      <w:r>
        <w:t xml:space="preserve"> </w:t>
      </w:r>
      <w:r>
        <w:t xml:space="preserve">at every Poisson upgrade is</w:t>
      </w:r>
      <w:r>
        <w:t xml:space="preserve"> </w:t>
      </w:r>
      <m:oMath>
        <m:d>
          <m:dPr>
            <m:begChr m:val="("/>
            <m:endChr m:val=")"/>
            <m:sepChr m:val=""/>
            <m:grow/>
          </m:dPr>
          <m:e>
            <m:r>
              <m:t>μ</m:t>
            </m:r>
            <m:r>
              <m:rPr>
                <m:sty m:val="p"/>
              </m:rPr>
              <m:t>/</m:t>
            </m:r>
            <m:r>
              <m:t>ρ</m:t>
            </m:r>
          </m:e>
        </m:d>
        <m:r>
          <m:t>w</m:t>
        </m:r>
      </m:oMath>
      <w:r>
        <w:t xml:space="preserve">. The maintenance burden</w:t>
      </w:r>
      <w:r>
        <w:t xml:space="preserve"> </w:t>
      </w:r>
      <m:oMath>
        <m:r>
          <m:t>m</m:t>
        </m:r>
        <m:d>
          <m:dPr>
            <m:begChr m:val="("/>
            <m:endChr m:val=")"/>
            <m:sepChr m:val=""/>
            <m:grow/>
          </m:dPr>
          <m:e>
            <m:r>
              <m:t>μ</m:t>
            </m:r>
            <m:r>
              <m:rPr>
                <m:sty m:val="p"/>
              </m:rPr>
              <m:t>,</m:t>
            </m:r>
            <m:r>
              <m:t>v</m:t>
            </m:r>
            <m:r>
              <m:rPr>
                <m:sty m:val="p"/>
              </m:rPr>
              <m:t>;</m:t>
            </m:r>
            <m:r>
              <m:t>R</m:t>
            </m:r>
          </m:e>
        </m:d>
      </m:oMath>
      <w:r>
        <w:t xml:space="preserve"> </w:t>
      </w:r>
      <w:r>
        <w:t xml:space="preserve">is</w:t>
      </w:r>
      <w:r>
        <w:t xml:space="preserve"> </w:t>
      </w:r>
      <m:oMath>
        <m:r>
          <m:t>μ</m:t>
        </m:r>
        <m:sSub>
          <m:e>
            <m:r>
              <m:t>C</m:t>
            </m:r>
          </m:e>
          <m:sub>
            <m:r>
              <m:t>N</m:t>
            </m:r>
          </m:sub>
        </m:sSub>
        <m:r>
          <m:rPr>
            <m:sty m:val="p"/>
          </m:rPr>
          <m:t>/</m:t>
        </m:r>
        <m:r>
          <m:t>ρ</m:t>
        </m:r>
      </m:oMath>
      <w:r>
        <w:t xml:space="preserve"> </w:t>
      </w:r>
      <w:r>
        <w:t xml:space="preserve">for retraining firms and</w:t>
      </w:r>
      <w:r>
        <w:t xml:space="preserve"> </w:t>
      </w:r>
      <m:oMath>
        <m:d>
          <m:dPr>
            <m:begChr m:val="("/>
            <m:endChr m:val=")"/>
            <m:sepChr m:val=""/>
            <m:grow/>
          </m:dPr>
          <m:e>
            <m:r>
              <m:t>1</m:t>
            </m:r>
            <m:r>
              <m:rPr>
                <m:sty m:val="p"/>
              </m:rPr>
              <m:t>−</m:t>
            </m:r>
            <m:r>
              <m:t>R</m:t>
            </m:r>
          </m:e>
        </m:d>
        <m:r>
          <m:t>v</m:t>
        </m:r>
        <m:r>
          <m:t>μ</m:t>
        </m:r>
        <m:r>
          <m:rPr>
            <m:sty m:val="p"/>
          </m:rPr>
          <m:t>/</m:t>
        </m:r>
        <m:d>
          <m:dPr>
            <m:begChr m:val="["/>
            <m:endChr m:val="]"/>
            <m:sepChr m:val=""/>
            <m:grow/>
          </m:dPr>
          <m:e>
            <m:r>
              <m:t>ρ</m:t>
            </m:r>
            <m:d>
              <m:dPr>
                <m:begChr m:val="("/>
                <m:endChr m:val=")"/>
                <m:sepChr m:val=""/>
                <m:grow/>
              </m:dPr>
              <m:e>
                <m:r>
                  <m:t>ρ</m:t>
                </m:r>
                <m:r>
                  <m:rPr>
                    <m:sty m:val="p"/>
                  </m:rPr>
                  <m:t>+</m:t>
                </m:r>
                <m:r>
                  <m:t>μ</m:t>
                </m:r>
              </m:e>
            </m:d>
          </m:e>
        </m:d>
      </m:oMath>
      <w:r>
        <w:t xml:space="preserve"> </w:t>
      </w:r>
      <w:r>
        <w:t xml:space="preserve">for transferring firms. Net surplus is</w:t>
      </w:r>
      <w:r>
        <w:t xml:space="preserve"> </w:t>
      </w:r>
      <m:oMath>
        <m:r>
          <m:t>s</m:t>
        </m:r>
        <m:d>
          <m:dPr>
            <m:begChr m:val="("/>
            <m:endChr m:val=")"/>
            <m:sepChr m:val=""/>
            <m:grow/>
          </m:dPr>
          <m:e>
            <m:r>
              <m:t>μ</m:t>
            </m:r>
            <m:r>
              <m:rPr>
                <m:sty m:val="p"/>
              </m:rPr>
              <m:t>,</m:t>
            </m:r>
            <m:r>
              <m:t>v</m:t>
            </m:r>
            <m:r>
              <m:rPr>
                <m:sty m:val="p"/>
              </m:rPr>
              <m:t>;</m:t>
            </m:r>
            <m:r>
              <m:t>R</m:t>
            </m:r>
          </m:e>
        </m:d>
        <m:r>
          <m:rPr>
            <m:sty m:val="p"/>
          </m:rPr>
          <m:t>=</m:t>
        </m:r>
        <m:r>
          <m:t>b</m:t>
        </m:r>
        <m:r>
          <m:t>μ</m:t>
        </m:r>
        <m:r>
          <m:rPr>
            <m:sty m:val="p"/>
          </m:rPr>
          <m:t>−</m:t>
        </m:r>
        <m:r>
          <m:t>m</m:t>
        </m:r>
        <m:d>
          <m:dPr>
            <m:begChr m:val="("/>
            <m:endChr m:val=")"/>
            <m:sepChr m:val=""/>
            <m:grow/>
          </m:dPr>
          <m:e>
            <m:r>
              <m:t>μ</m:t>
            </m:r>
            <m:r>
              <m:rPr>
                <m:sty m:val="p"/>
              </m:rPr>
              <m:t>,</m:t>
            </m:r>
            <m:r>
              <m:t>v</m:t>
            </m:r>
            <m:r>
              <m:rPr>
                <m:sty m:val="p"/>
              </m:rPr>
              <m:t>;</m:t>
            </m:r>
            <m:r>
              <m:t>R</m:t>
            </m:r>
          </m:e>
        </m:d>
      </m:oMath>
      <w:r>
        <w:t xml:space="preserve">.</w:t>
      </w:r>
    </w:p>
    <w:p>
      <w:pPr>
        <w:pStyle w:val="BodyText"/>
      </w:pPr>
      <w:r>
        <w:t xml:space="preserve">A transferring firm’s burden is concave in</w:t>
      </w:r>
      <w:r>
        <w:t xml:space="preserve"> </w:t>
      </w:r>
      <m:oMath>
        <m:r>
          <m:t>μ</m:t>
        </m:r>
      </m:oMath>
      <w:r>
        <w:t xml:space="preserve"> </w:t>
      </w:r>
      <w:r>
        <w:t xml:space="preserve">and saturates at</w:t>
      </w:r>
      <w:r>
        <w:t xml:space="preserve"> </w:t>
      </w:r>
      <m:oMath>
        <m:d>
          <m:dPr>
            <m:begChr m:val="("/>
            <m:endChr m:val=")"/>
            <m:sepChr m:val=""/>
            <m:grow/>
          </m:dPr>
          <m:e>
            <m:r>
              <m:t>1</m:t>
            </m:r>
            <m:r>
              <m:rPr>
                <m:sty m:val="p"/>
              </m:rPr>
              <m:t>−</m:t>
            </m:r>
            <m:r>
              <m:t>R</m:t>
            </m:r>
          </m:e>
        </m:d>
        <m:r>
          <m:t>v</m:t>
        </m:r>
        <m:r>
          <m:rPr>
            <m:sty m:val="p"/>
          </m:rPr>
          <m:t>/</m:t>
        </m:r>
        <m:r>
          <m:t>ρ</m:t>
        </m:r>
      </m:oMath>
      <w:r>
        <w:t xml:space="preserve">. A retraining firm’s burden is linear and unbounded. A retraining firm is harmed by more frequent releases whenever</w:t>
      </w:r>
      <w:r>
        <w:t xml:space="preserve"> </w:t>
      </w:r>
      <m:oMath>
        <m:r>
          <m:t>b</m:t>
        </m:r>
        <m:r>
          <m:rPr>
            <m:sty m:val="p"/>
          </m:rPr>
          <m:t>&lt;</m:t>
        </m:r>
        <m:sSub>
          <m:e>
            <m:r>
              <m:t>C</m:t>
            </m:r>
          </m:e>
          <m:sub>
            <m:r>
              <m:t>N</m:t>
            </m:r>
          </m:sub>
        </m:sSub>
        <m:r>
          <m:rPr>
            <m:sty m:val="p"/>
          </m:rPr>
          <m:t>/</m:t>
        </m:r>
        <m:r>
          <m:t>ρ</m:t>
        </m:r>
      </m:oMath>
      <w:r>
        <w:t xml:space="preserve">.</w:t>
      </w:r>
    </w:p>
    <w:p>
      <w:pPr>
        <w:pStyle w:val="BodyText"/>
      </w:pPr>
      <w:r>
        <w:t xml:space="preserve">The owner earns a direct return</w:t>
      </w:r>
      <w:r>
        <w:t xml:space="preserve"> </w:t>
      </w:r>
      <m:oMath>
        <m:r>
          <m:t>ψ</m:t>
        </m:r>
        <m:r>
          <m:t>μ</m:t>
        </m:r>
      </m:oMath>
      <w:r>
        <w:t xml:space="preserve"> </w:t>
      </w:r>
      <w:r>
        <w:t xml:space="preserve">from the general market, bears development cost</w:t>
      </w:r>
      <w:r>
        <w:t xml:space="preserve"> </w:t>
      </w:r>
      <m:oMath>
        <m:f>
          <m:fPr>
            <m:type m:val="lin"/>
          </m:fPr>
          <m:num>
            <m:r>
              <m:t>1</m:t>
            </m:r>
          </m:num>
          <m:den>
            <m:r>
              <m:t>2</m:t>
            </m:r>
          </m:den>
        </m:f>
        <m:r>
          <m:t>c</m:t>
        </m:r>
        <m:sSup>
          <m:e>
            <m:r>
              <m:t>μ</m:t>
            </m:r>
          </m:e>
          <m:sup>
            <m:r>
              <m:t>2</m:t>
            </m:r>
          </m:sup>
        </m:sSup>
      </m:oMath>
      <w:r>
        <w:t xml:space="preserve">, and captures a share</w:t>
      </w:r>
      <w:r>
        <w:t xml:space="preserve"> </w:t>
      </w:r>
      <m:oMath>
        <m:r>
          <m:t>θ</m:t>
        </m:r>
        <m:r>
          <m:rPr>
            <m:sty m:val="p"/>
          </m:rPr>
          <m:t>∈</m:t>
        </m:r>
        <m:r>
          <m:rPr>
            <m:sty m:val="p"/>
          </m:rPr>
          <m:t>(</m:t>
        </m:r>
        <m:r>
          <m:t>0</m:t>
        </m:r>
        <m:r>
          <m:rPr>
            <m:sty m:val="p"/>
          </m:rPr>
          <m:t>,</m:t>
        </m:r>
        <m:r>
          <m:t>1</m:t>
        </m:r>
        <m:r>
          <m:rPr>
            <m:sty m:val="p"/>
          </m:rPr>
          <m:t>]</m:t>
        </m:r>
      </m:oMath>
      <w:r>
        <w:t xml:space="preserve"> </w:t>
      </w:r>
      <w:r>
        <w:t xml:space="preserve">of expected enterprise surplus. The planner has the same objective with</w:t>
      </w:r>
      <w:r>
        <w:t xml:space="preserve"> </w:t>
      </w:r>
      <m:oMath>
        <m:r>
          <m:t>θ</m:t>
        </m:r>
        <m:r>
          <m:rPr>
            <m:sty m:val="p"/>
          </m:rPr>
          <m:t>=</m:t>
        </m:r>
        <m:r>
          <m:t>1</m:t>
        </m:r>
      </m:oMath>
      <w:r>
        <w:t xml:space="preserve">.</w:t>
      </w:r>
    </w:p>
    <w:p>
      <w:pPr>
        <w:pStyle w:val="BodyText"/>
      </w:pPr>
      <w:r>
        <w:rPr>
          <w:bCs/>
          <w:b/>
        </w:rPr>
        <w:t xml:space="preserve">Proposition 4 (Cadence).</w:t>
      </w:r>
      <w:r>
        <w:t xml:space="preserve"> </w:t>
      </w:r>
      <w:r>
        <w:t xml:space="preserve">The owner’s intensity</w:t>
      </w:r>
      <w:r>
        <w:t xml:space="preserve"> </w:t>
      </w:r>
      <m:oMath>
        <m:sSub>
          <m:e>
            <m:r>
              <m:t>μ</m:t>
            </m:r>
          </m:e>
          <m:sub>
            <m:r>
              <m:t>V</m:t>
            </m:r>
          </m:sub>
        </m:sSub>
      </m:oMath>
      <w:r>
        <w:t xml:space="preserve"> </w:t>
      </w:r>
      <w:r>
        <w:t xml:space="preserve">solves</w:t>
      </w:r>
      <w:r>
        <w:t xml:space="preserve"> </w:t>
      </w:r>
      <m:oMath>
        <m:r>
          <m:t>ψ</m:t>
        </m:r>
        <m:r>
          <m:rPr>
            <m:sty m:val="p"/>
          </m:rPr>
          <m:t>−</m:t>
        </m:r>
        <m:r>
          <m:t>c</m:t>
        </m:r>
        <m:r>
          <m:t>μ</m:t>
        </m:r>
        <m:r>
          <m:rPr>
            <m:sty m:val="p"/>
          </m:rPr>
          <m:t>+</m:t>
        </m:r>
        <m:r>
          <m:t>θ</m:t>
        </m:r>
        <m:r>
          <m:t>n</m:t>
        </m:r>
        <m:r>
          <m:t> </m:t>
        </m:r>
        <m:d>
          <m:dPr>
            <m:begChr m:val="("/>
            <m:endChr m:val=")"/>
            <m:sepChr m:val=""/>
            <m:grow/>
          </m:dPr>
          <m:e>
            <m:r>
              <m:t>b</m:t>
            </m:r>
            <m:r>
              <m:rPr>
                <m:sty m:val="p"/>
              </m:rPr>
              <m:t>−</m:t>
            </m:r>
            <m:r>
              <m:rPr>
                <m:sty m:val="p"/>
              </m:rPr>
              <m:t>∂</m:t>
            </m:r>
            <m:r>
              <m:t>E</m:t>
            </m:r>
            <m:d>
              <m:dPr>
                <m:begChr m:val="["/>
                <m:endChr m:val="]"/>
                <m:sepChr m:val=""/>
                <m:grow/>
              </m:dPr>
              <m:e>
                <m:r>
                  <m:t>m</m:t>
                </m:r>
              </m:e>
            </m:d>
            <m:r>
              <m:rPr>
                <m:sty m:val="p"/>
              </m:rPr>
              <m:t>/</m:t>
            </m:r>
            <m:r>
              <m:rPr>
                <m:sty m:val="p"/>
              </m:rPr>
              <m:t>∂</m:t>
            </m:r>
            <m:r>
              <m:t>μ</m:t>
            </m:r>
          </m:e>
        </m:d>
        <m:r>
          <m:rPr>
            <m:sty m:val="p"/>
          </m:rPr>
          <m:t>=</m:t>
        </m:r>
        <m:r>
          <m:t>0</m:t>
        </m:r>
      </m:oMath>
      <w:r>
        <w:t xml:space="preserve">. Movement of</w:t>
      </w:r>
      <w:r>
        <w:t xml:space="preserve"> </w:t>
      </w:r>
      <m:oMath>
        <m:acc>
          <m:accPr>
            <m:chr m:val="̂"/>
          </m:accPr>
          <m:e>
            <m:r>
              <m:t>v</m:t>
            </m:r>
          </m:e>
        </m:acc>
      </m:oMath>
      <w:r>
        <w:t xml:space="preserve"> </w:t>
      </w:r>
      <w:r>
        <w:t xml:space="preserve">has no first-order effect on</w:t>
      </w:r>
      <w:r>
        <w:t xml:space="preserve"> </w:t>
      </w:r>
      <m:oMath>
        <m:r>
          <m:t>E</m:t>
        </m:r>
        <m:d>
          <m:dPr>
            <m:begChr m:val="["/>
            <m:endChr m:val="]"/>
            <m:sepChr m:val=""/>
            <m:grow/>
          </m:dPr>
          <m:e>
            <m:r>
              <m:t>m</m:t>
            </m:r>
          </m:e>
        </m:d>
      </m:oMath>
      <w:r>
        <w:t xml:space="preserve"> </w:t>
      </w:r>
      <w:r>
        <w:t xml:space="preserve">because the two options have equal burden at</w:t>
      </w:r>
      <w:r>
        <w:t xml:space="preserve"> </w:t>
      </w:r>
      <m:oMath>
        <m:acc>
          <m:accPr>
            <m:chr m:val="̂"/>
          </m:accPr>
          <m:e>
            <m:r>
              <m:t>v</m:t>
            </m:r>
          </m:e>
        </m:acc>
      </m:oMath>
      <w:r>
        <w:t xml:space="preserve">. Under</w:t>
      </w:r>
      <w:r>
        <w:t xml:space="preserve"> </w:t>
      </w:r>
      <m:oMath>
        <m:r>
          <m:t>v</m:t>
        </m:r>
        <m:r>
          <m:rPr>
            <m:sty m:val="p"/>
          </m:rPr>
          <m:t>∼</m:t>
        </m:r>
        <m:r>
          <m:t>U</m:t>
        </m:r>
        <m:d>
          <m:dPr>
            <m:begChr m:val="["/>
            <m:endChr m:val="]"/>
            <m:sepChr m:val=""/>
            <m:grow/>
          </m:dPr>
          <m:e>
            <m:r>
              <m:t>0</m:t>
            </m:r>
            <m:r>
              <m:rPr>
                <m:sty m:val="p"/>
              </m:rPr>
              <m:t>,</m:t>
            </m:r>
            <m:acc>
              <m:accPr>
                <m:chr m:val="‾"/>
              </m:accPr>
              <m:e>
                <m:r>
                  <m:t>v</m:t>
                </m:r>
              </m:e>
            </m:acc>
          </m:e>
        </m:d>
      </m:oMath>
      <w:r>
        <w:t xml:space="preserve"> </w:t>
      </w:r>
      <w:r>
        <w:t xml:space="preserve">with some retraining and</w:t>
      </w:r>
      <w:r>
        <w:t xml:space="preserve"> </w:t>
      </w:r>
      <m:oMath>
        <m:r>
          <m:t>κ</m:t>
        </m:r>
        <m:d>
          <m:dPr>
            <m:begChr m:val="("/>
            <m:endChr m:val=")"/>
            <m:sepChr m:val=""/>
            <m:grow/>
          </m:dPr>
          <m:e>
            <m:r>
              <m:t>ρ</m:t>
            </m:r>
            <m:r>
              <m:rPr>
                <m:sty m:val="p"/>
              </m:rPr>
              <m:t>+</m:t>
            </m:r>
            <m:r>
              <m:t>μ</m:t>
            </m:r>
          </m:e>
        </m:d>
        <m:r>
          <m:rPr>
            <m:sty m:val="p"/>
          </m:rPr>
          <m:t>≤</m:t>
        </m:r>
        <m:r>
          <m:t>1</m:t>
        </m:r>
      </m:oMath>
      <w:r>
        <w:t xml:space="preserve">,</w:t>
      </w:r>
    </w:p>
    <w:p>
      <w:pPr>
        <w:pStyle w:val="BodyText"/>
      </w:pPr>
      <m:oMathPara>
        <m:oMathParaPr>
          <m:jc m:val="center"/>
        </m:oMathParaPr>
        <m:oMath>
          <m:r>
            <m:t>E</m:t>
          </m:r>
          <m:d>
            <m:dPr>
              <m:begChr m:val="["/>
              <m:endChr m:val="]"/>
              <m:sepChr m:val=""/>
              <m:grow/>
            </m:dPr>
            <m:e>
              <m:r>
                <m:t>m</m:t>
              </m:r>
            </m:e>
          </m:d>
          <m:r>
            <m:rPr>
              <m:sty m:val="p"/>
            </m:rPr>
            <m:t>=</m:t>
          </m:r>
          <m:f>
            <m:fPr>
              <m:type m:val="bar"/>
            </m:fPr>
            <m:num>
              <m:r>
                <m:t>μ</m:t>
              </m:r>
              <m:sSub>
                <m:e>
                  <m:r>
                    <m:t>C</m:t>
                  </m:r>
                </m:e>
                <m:sub>
                  <m:r>
                    <m:t>N</m:t>
                  </m:r>
                </m:sub>
              </m:sSub>
            </m:num>
            <m:den>
              <m:r>
                <m:t>ρ</m:t>
              </m:r>
            </m:den>
          </m:f>
          <m:d>
            <m:dPr>
              <m:begChr m:val="("/>
              <m:endChr m:val=")"/>
              <m:sepChr m:val=""/>
              <m:grow/>
            </m:dPr>
            <m:e>
              <m:r>
                <m:t>1</m:t>
              </m:r>
              <m:r>
                <m:rPr>
                  <m:sty m:val="p"/>
                </m:rPr>
                <m:t>−</m:t>
              </m:r>
              <m:f>
                <m:fPr>
                  <m:type m:val="bar"/>
                </m:fPr>
                <m:num>
                  <m:r>
                    <m:t>κ</m:t>
                  </m:r>
                  <m:d>
                    <m:dPr>
                      <m:begChr m:val="("/>
                      <m:endChr m:val=")"/>
                      <m:sepChr m:val=""/>
                      <m:grow/>
                    </m:dPr>
                    <m:e>
                      <m:r>
                        <m:t>ρ</m:t>
                      </m:r>
                      <m:r>
                        <m:rPr>
                          <m:sty m:val="p"/>
                        </m:rPr>
                        <m:t>+</m:t>
                      </m:r>
                      <m:r>
                        <m:t>μ</m:t>
                      </m:r>
                    </m:e>
                  </m:d>
                </m:num>
                <m:den>
                  <m:r>
                    <m:t>2</m:t>
                  </m:r>
                </m:den>
              </m:f>
            </m:e>
          </m:d>
          <m:r>
            <m:rPr>
              <m:sty m:val="p"/>
            </m:rPr>
            <m:t>,</m:t>
          </m:r>
          <m:r>
            <m:t>  </m:t>
          </m:r>
          <m:r>
            <m:t>κ</m:t>
          </m:r>
          <m:r>
            <m:rPr>
              <m:sty m:val="p"/>
            </m:rPr>
            <m:t>=</m:t>
          </m:r>
          <m:f>
            <m:fPr>
              <m:type m:val="bar"/>
            </m:fPr>
            <m:num>
              <m:sSub>
                <m:e>
                  <m:r>
                    <m:t>C</m:t>
                  </m:r>
                </m:e>
                <m:sub>
                  <m:r>
                    <m:t>N</m:t>
                  </m:r>
                </m:sub>
              </m:sSub>
            </m:num>
            <m:den>
              <m:d>
                <m:dPr>
                  <m:begChr m:val="("/>
                  <m:endChr m:val=")"/>
                  <m:sepChr m:val=""/>
                  <m:grow/>
                </m:dPr>
                <m:e>
                  <m:r>
                    <m:t>1</m:t>
                  </m:r>
                  <m:r>
                    <m:rPr>
                      <m:sty m:val="p"/>
                    </m:rPr>
                    <m:t>−</m:t>
                  </m:r>
                  <m:r>
                    <m:t>R</m:t>
                  </m:r>
                </m:e>
              </m:d>
              <m:acc>
                <m:accPr>
                  <m:chr m:val="‾"/>
                </m:accPr>
                <m:e>
                  <m:r>
                    <m:t>v</m:t>
                  </m:r>
                </m:e>
              </m:acc>
            </m:den>
          </m:f>
          <m:r>
            <m:rPr>
              <m:sty m:val="p"/>
            </m:rPr>
            <m:t>,</m:t>
          </m:r>
        </m:oMath>
      </m:oMathPara>
    </w:p>
    <w:p>
      <w:pPr>
        <w:pStyle w:val="FirstParagraph"/>
      </w:pPr>
      <w:r>
        <w:t xml:space="preserve">and</w:t>
      </w:r>
      <w:r>
        <w:t xml:space="preserve"> </w:t>
      </w:r>
      <m:oMath>
        <m:sSub>
          <m:e>
            <m:r>
              <m:t>μ</m:t>
            </m:r>
          </m:e>
          <m:sub>
            <m:r>
              <m:t>V</m:t>
            </m:r>
          </m:sub>
        </m:sSub>
        <m:r>
          <m:rPr>
            <m:sty m:val="p"/>
          </m:rPr>
          <m:t>=</m:t>
        </m:r>
        <m:d>
          <m:dPr>
            <m:begChr m:val="("/>
            <m:endChr m:val=")"/>
            <m:sepChr m:val=""/>
            <m:grow/>
          </m:dPr>
          <m:e>
            <m:r>
              <m:t>ψ</m:t>
            </m:r>
            <m:r>
              <m:rPr>
                <m:sty m:val="p"/>
              </m:rPr>
              <m:t>+</m:t>
            </m:r>
            <m:r>
              <m:t>θ</m:t>
            </m:r>
            <m:r>
              <m:t>X</m:t>
            </m:r>
          </m:e>
        </m:d>
        <m:r>
          <m:rPr>
            <m:sty m:val="p"/>
          </m:rPr>
          <m:t>/</m:t>
        </m:r>
        <m:d>
          <m:dPr>
            <m:begChr m:val="("/>
            <m:endChr m:val=")"/>
            <m:sepChr m:val=""/>
            <m:grow/>
          </m:dPr>
          <m:e>
            <m:r>
              <m:t>c</m:t>
            </m:r>
            <m:r>
              <m:rPr>
                <m:sty m:val="p"/>
              </m:rPr>
              <m:t>−</m:t>
            </m:r>
            <m:r>
              <m:t>θ</m:t>
            </m:r>
            <m:r>
              <m:t>Y</m:t>
            </m:r>
          </m:e>
        </m:d>
      </m:oMath>
      <w:r>
        <w:t xml:space="preserve"> </w:t>
      </w:r>
      <w:r>
        <w:t xml:space="preserve">with</w:t>
      </w:r>
      <w:r>
        <w:t xml:space="preserve"> </w:t>
      </w:r>
      <m:oMath>
        <m:r>
          <m:t>X</m:t>
        </m:r>
        <m:r>
          <m:rPr>
            <m:sty m:val="p"/>
          </m:rPr>
          <m:t>=</m:t>
        </m:r>
        <m:r>
          <m:t>n</m:t>
        </m:r>
        <m:d>
          <m:dPr>
            <m:begChr m:val="["/>
            <m:endChr m:val="]"/>
            <m:sepChr m:val=""/>
            <m:grow/>
          </m:dPr>
          <m:e>
            <m:r>
              <m:t>b</m:t>
            </m:r>
            <m:r>
              <m:rPr>
                <m:sty m:val="p"/>
              </m:rPr>
              <m:t>−</m:t>
            </m:r>
            <m:d>
              <m:dPr>
                <m:begChr m:val="("/>
                <m:endChr m:val=")"/>
                <m:sepChr m:val=""/>
                <m:grow/>
              </m:dPr>
              <m:e>
                <m:sSub>
                  <m:e>
                    <m:r>
                      <m:t>C</m:t>
                    </m:r>
                  </m:e>
                  <m:sub>
                    <m:r>
                      <m:t>N</m:t>
                    </m:r>
                  </m:sub>
                </m:sSub>
                <m:r>
                  <m:rPr>
                    <m:sty m:val="p"/>
                  </m:rPr>
                  <m:t>/</m:t>
                </m:r>
                <m:r>
                  <m:t>ρ</m:t>
                </m:r>
              </m:e>
            </m:d>
            <m:d>
              <m:dPr>
                <m:begChr m:val="("/>
                <m:endChr m:val=")"/>
                <m:sepChr m:val=""/>
                <m:grow/>
              </m:dPr>
              <m:e>
                <m:r>
                  <m:t>1</m:t>
                </m:r>
                <m:r>
                  <m:rPr>
                    <m:sty m:val="p"/>
                  </m:rPr>
                  <m:t>−</m:t>
                </m:r>
                <m:r>
                  <m:t>κ</m:t>
                </m:r>
                <m:r>
                  <m:t>ρ</m:t>
                </m:r>
                <m:r>
                  <m:rPr>
                    <m:sty m:val="p"/>
                  </m:rPr>
                  <m:t>/</m:t>
                </m:r>
                <m:r>
                  <m:t>2</m:t>
                </m:r>
              </m:e>
            </m:d>
          </m:e>
        </m:d>
      </m:oMath>
      <w:r>
        <w:t xml:space="preserve"> </w:t>
      </w:r>
      <w:r>
        <w:t xml:space="preserve">and</w:t>
      </w:r>
      <w:r>
        <w:t xml:space="preserve"> </w:t>
      </w:r>
      <m:oMath>
        <m:r>
          <m:t>Y</m:t>
        </m:r>
        <m:r>
          <m:rPr>
            <m:sty m:val="p"/>
          </m:rPr>
          <m:t>=</m:t>
        </m:r>
        <m:r>
          <m:t>n</m:t>
        </m:r>
        <m:sSub>
          <m:e>
            <m:r>
              <m:t>C</m:t>
            </m:r>
          </m:e>
          <m:sub>
            <m:r>
              <m:t>N</m:t>
            </m:r>
          </m:sub>
        </m:sSub>
        <m:r>
          <m:t>κ</m:t>
        </m:r>
        <m:r>
          <m:rPr>
            <m:sty m:val="p"/>
          </m:rPr>
          <m:t>/</m:t>
        </m:r>
        <m:r>
          <m:t>ρ</m:t>
        </m:r>
      </m:oMath>
      <w:r>
        <w:t xml:space="preserve">, provided</w:t>
      </w:r>
      <w:r>
        <w:t xml:space="preserve"> </w:t>
      </w:r>
      <m:oMath>
        <m:r>
          <m:t>c</m:t>
        </m:r>
        <m:r>
          <m:rPr>
            <m:sty m:val="p"/>
          </m:rPr>
          <m:t>&gt;</m:t>
        </m:r>
        <m:r>
          <m:t>θ</m:t>
        </m:r>
        <m:r>
          <m:t>Y</m:t>
        </m:r>
      </m:oMath>
      <w:r>
        <w:t xml:space="preserve">.</w:t>
      </w:r>
    </w:p>
    <w:p>
      <w:pPr>
        <w:pStyle w:val="BodyText"/>
      </w:pPr>
      <w:r>
        <w:rPr>
          <w:bCs/>
          <w:b/>
        </w:rPr>
        <w:t xml:space="preserve">Proposition 5 (Over-release).</w:t>
      </w:r>
      <w:r>
        <w:t xml:space="preserve"> </w:t>
      </w:r>
      <w:r>
        <w:t xml:space="preserve">If the planner’s objective is concave,</w:t>
      </w:r>
      <w:r>
        <w:t xml:space="preserve"> </w:t>
      </w:r>
      <m:oMath>
        <m:sSub>
          <m:e>
            <m:r>
              <m:t>μ</m:t>
            </m:r>
          </m:e>
          <m:sub>
            <m:r>
              <m:t>V</m:t>
            </m:r>
          </m:sub>
        </m:sSub>
        <m:r>
          <m:rPr>
            <m:sty m:val="p"/>
          </m:rPr>
          <m:t>&gt;</m:t>
        </m:r>
        <m:sSub>
          <m:e>
            <m:r>
              <m:t>μ</m:t>
            </m:r>
          </m:e>
          <m:sub>
            <m:r>
              <m:t>P</m:t>
            </m:r>
          </m:sub>
        </m:sSub>
      </m:oMath>
      <w:r>
        <w:t xml:space="preserve"> </w:t>
      </w:r>
      <w:r>
        <w:t xml:space="preserve">if and only if</w:t>
      </w:r>
      <w:r>
        <w:t xml:space="preserve"> </w:t>
      </w:r>
      <m:oMath>
        <m:r>
          <m:t>E</m:t>
        </m:r>
        <m:d>
          <m:dPr>
            <m:begChr m:val="["/>
            <m:endChr m:val="]"/>
            <m:sepChr m:val=""/>
            <m:grow/>
          </m:dPr>
          <m:e>
            <m:sSub>
              <m:e>
                <m:r>
                  <m:t>s</m:t>
                </m:r>
              </m:e>
              <m:sub>
                <m:r>
                  <m:t>μ</m:t>
                </m:r>
              </m:sub>
            </m:sSub>
            <m:d>
              <m:dPr>
                <m:begChr m:val="("/>
                <m:endChr m:val=")"/>
                <m:sepChr m:val=""/>
                <m:grow/>
              </m:dPr>
              <m:e>
                <m:sSub>
                  <m:e>
                    <m:r>
                      <m:t>μ</m:t>
                    </m:r>
                  </m:e>
                  <m:sub>
                    <m:r>
                      <m:t>V</m:t>
                    </m:r>
                  </m:sub>
                </m:sSub>
                <m:r>
                  <m:rPr>
                    <m:sty m:val="p"/>
                  </m:rPr>
                  <m:t>,</m:t>
                </m:r>
                <m:r>
                  <m:t>v</m:t>
                </m:r>
              </m:e>
            </m:d>
          </m:e>
        </m:d>
        <m:r>
          <m:rPr>
            <m:sty m:val="p"/>
          </m:rPr>
          <m:t>&lt;</m:t>
        </m:r>
        <m:r>
          <m:t>0</m:t>
        </m:r>
      </m:oMath>
      <w:r>
        <w:t xml:space="preserve">. Under the uniform specification this is equivalent to</w:t>
      </w:r>
      <w:r>
        <w:t xml:space="preserve"> </w:t>
      </w:r>
      <m:oMath>
        <m:r>
          <m:t>c</m:t>
        </m:r>
        <m:r>
          <m:t>X</m:t>
        </m:r>
        <m:r>
          <m:rPr>
            <m:sty m:val="p"/>
          </m:rPr>
          <m:t>+</m:t>
        </m:r>
        <m:r>
          <m:t>ψ</m:t>
        </m:r>
        <m:r>
          <m:t>Y</m:t>
        </m:r>
        <m:r>
          <m:rPr>
            <m:sty m:val="p"/>
          </m:rPr>
          <m:t>&lt;</m:t>
        </m:r>
        <m:r>
          <m:t>0</m:t>
        </m:r>
      </m:oMath>
      <w:r>
        <w:t xml:space="preserve">. Because</w:t>
      </w:r>
      <w:r>
        <w:t xml:space="preserve"> </w:t>
      </w:r>
      <m:oMath>
        <m:r>
          <m:t>κ</m:t>
        </m:r>
      </m:oMath>
      <w:r>
        <w:t xml:space="preserve"> </w:t>
      </w:r>
      <w:r>
        <w:t xml:space="preserve">rises with</w:t>
      </w:r>
      <w:r>
        <w:t xml:space="preserve"> </w:t>
      </w:r>
      <m:oMath>
        <m:r>
          <m:t>R</m:t>
        </m:r>
      </m:oMath>
      <w:r>
        <w:t xml:space="preserve">, better transfer shrinks the region of over-release.</w:t>
      </w:r>
    </w:p>
    <w:p>
      <w:pPr>
        <w:pStyle w:val="BodyText"/>
      </w:pPr>
      <w:r>
        <w:rPr>
          <w:bCs/>
          <w:b/>
        </w:rPr>
        <w:t xml:space="preserve">Proposition 6 (Strategic complementarity).</w:t>
      </w:r>
      <w:r>
        <w:t xml:space="preserve"> </w:t>
      </w:r>
      <w:r>
        <w:t xml:space="preserve">For any</w:t>
      </w:r>
      <w:r>
        <w:t xml:space="preserve"> </w:t>
      </w:r>
      <m:oMath>
        <m:r>
          <m:t>F</m:t>
        </m:r>
      </m:oMath>
      <w:r>
        <w:t xml:space="preserve">,</w:t>
      </w:r>
      <w:r>
        <w:t xml:space="preserve"> </w:t>
      </w:r>
      <m:oMath>
        <m:r>
          <m:t>d</m:t>
        </m:r>
        <m:sSub>
          <m:e>
            <m:r>
              <m:t>μ</m:t>
            </m:r>
          </m:e>
          <m:sub>
            <m:r>
              <m:t>V</m:t>
            </m:r>
          </m:sub>
        </m:sSub>
        <m:r>
          <m:rPr>
            <m:sty m:val="p"/>
          </m:rPr>
          <m:t>/</m:t>
        </m:r>
        <m:r>
          <m:t>d</m:t>
        </m:r>
        <m:r>
          <m:t>R</m:t>
        </m:r>
        <m:r>
          <m:rPr>
            <m:sty m:val="p"/>
          </m:rPr>
          <m:t>&gt;</m:t>
        </m:r>
        <m:r>
          <m:t>0</m:t>
        </m:r>
      </m:oMath>
      <w:r>
        <w:t xml:space="preserve">.</w:t>
      </w:r>
    </w:p>
    <w:p>
      <w:pPr>
        <w:pStyle w:val="BodyText"/>
      </w:pPr>
      <w:r>
        <w:t xml:space="preserve">Easier transfer lowers the marginal burden of a release. The owner internalizes share</w:t>
      </w:r>
      <w:r>
        <w:t xml:space="preserve"> </w:t>
      </w:r>
      <m:oMath>
        <m:r>
          <m:t>θ</m:t>
        </m:r>
      </m:oMath>
      <w:r>
        <w:t xml:space="preserve"> </w:t>
      </w:r>
      <w:r>
        <w:t xml:space="preserve">of that reduction and therefore releases more often.</w:t>
      </w:r>
    </w:p>
    <w:p>
      <w:pPr>
        <w:pStyle w:val="BodyText"/>
      </w:pPr>
      <w:r>
        <w:rPr>
          <w:bCs/>
          <w:b/>
        </w:rPr>
        <w:t xml:space="preserve">Proposition 7 (Distribution).</w:t>
      </w:r>
      <w:r>
        <w:t xml:space="preserve"> </w:t>
      </w:r>
      <w:r>
        <w:t xml:space="preserve">A small increase in</w:t>
      </w:r>
      <w:r>
        <w:t xml:space="preserve"> </w:t>
      </w:r>
      <m:oMath>
        <m:r>
          <m:t>R</m:t>
        </m:r>
      </m:oMath>
      <w:r>
        <w:t xml:space="preserve"> </w:t>
      </w:r>
      <w:r>
        <w:t xml:space="preserve">has a direct effect and a cadence effect. (a) A firm that retrains before and after the change has no direct effect; if</w:t>
      </w:r>
      <w:r>
        <w:t xml:space="preserve"> </w:t>
      </w:r>
      <m:oMath>
        <m:r>
          <m:t>b</m:t>
        </m:r>
        <m:r>
          <m:rPr>
            <m:sty m:val="p"/>
          </m:rPr>
          <m:t>&lt;</m:t>
        </m:r>
        <m:sSub>
          <m:e>
            <m:r>
              <m:t>C</m:t>
            </m:r>
          </m:e>
          <m:sub>
            <m:r>
              <m:t>N</m:t>
            </m:r>
          </m:sub>
        </m:sSub>
        <m:r>
          <m:rPr>
            <m:sty m:val="p"/>
          </m:rPr>
          <m:t>/</m:t>
        </m:r>
        <m:r>
          <m:t>ρ</m:t>
        </m:r>
      </m:oMath>
      <w:r>
        <w:t xml:space="preserve"> </w:t>
      </w:r>
      <w:r>
        <w:t xml:space="preserve">it is made strictly worse off. (b) A transferring firm with</w:t>
      </w:r>
      <w:r>
        <w:t xml:space="preserve"> </w:t>
      </w:r>
      <m:oMath>
        <m:r>
          <m:t>v</m:t>
        </m:r>
        <m:r>
          <m:rPr>
            <m:sty m:val="p"/>
          </m:rPr>
          <m:t>→</m:t>
        </m:r>
        <m:r>
          <m:t>0</m:t>
        </m:r>
      </m:oMath>
      <w:r>
        <w:t xml:space="preserve"> </w:t>
      </w:r>
      <w:r>
        <w:t xml:space="preserve">gains from both effects. (c) In the over-release region the cadence effect is negative on average, so mean surplus can fall even as</w:t>
      </w:r>
      <w:r>
        <w:t xml:space="preserve"> </w:t>
      </w:r>
      <m:oMath>
        <m:r>
          <m:t>R</m:t>
        </m:r>
      </m:oMath>
      <w:r>
        <w:t xml:space="preserve"> </w:t>
      </w:r>
      <w:r>
        <w:t xml:space="preserve">improves.</w:t>
      </w:r>
    </w:p>
    <w:p>
      <w:pPr>
        <w:pStyle w:val="BodyText"/>
      </w:pPr>
      <w:r>
        <w:rPr>
          <w:bCs/>
          <w:b/>
        </w:rPr>
        <w:t xml:space="preserve">Proposition 8 (Endogenous compatibility).</w:t>
      </w:r>
      <w:r>
        <w:t xml:space="preserve"> </w:t>
      </w:r>
      <w:r>
        <w:t xml:space="preserve">If the owner also chooses</w:t>
      </w:r>
      <w:r>
        <w:t xml:space="preserve"> </w:t>
      </w:r>
      <m:oMath>
        <m:r>
          <m:t>R</m:t>
        </m:r>
      </m:oMath>
      <w:r>
        <w:t xml:space="preserve"> </w:t>
      </w:r>
      <w:r>
        <w:t xml:space="preserve">at an increasing convex cost</w:t>
      </w:r>
      <w:r>
        <w:t xml:space="preserve"> </w:t>
      </w:r>
      <m:oMath>
        <m:r>
          <m:t>Z</m:t>
        </m:r>
        <m:d>
          <m:dPr>
            <m:begChr m:val="("/>
            <m:endChr m:val=")"/>
            <m:sepChr m:val=""/>
            <m:grow/>
          </m:dPr>
          <m:e>
            <m:r>
              <m:t>R</m:t>
            </m:r>
          </m:e>
        </m:d>
      </m:oMath>
      <w:r>
        <w:t xml:space="preserve">, the objective is supermodular in</w:t>
      </w:r>
      <w:r>
        <w:t xml:space="preserve"> </w:t>
      </w:r>
      <m:oMath>
        <m:d>
          <m:dPr>
            <m:begChr m:val="("/>
            <m:endChr m:val=")"/>
            <m:sepChr m:val=""/>
            <m:grow/>
          </m:dPr>
          <m:e>
            <m:r>
              <m:t>μ</m:t>
            </m:r>
            <m:r>
              <m:rPr>
                <m:sty m:val="p"/>
              </m:rPr>
              <m:t>,</m:t>
            </m:r>
            <m:r>
              <m:t>R</m:t>
            </m:r>
          </m:e>
        </m:d>
      </m:oMath>
      <w:r>
        <w:t xml:space="preserve"> </w:t>
      </w:r>
      <w:r>
        <w:t xml:space="preserve">and has increasing differences in</w:t>
      </w:r>
      <w:r>
        <w:t xml:space="preserve"> </w:t>
      </w:r>
      <m:oMath>
        <m:d>
          <m:dPr>
            <m:begChr m:val="("/>
            <m:endChr m:val=")"/>
            <m:sepChr m:val=""/>
            <m:grow/>
          </m:dPr>
          <m:e>
            <m:r>
              <m:t>μ</m:t>
            </m:r>
            <m:r>
              <m:rPr>
                <m:sty m:val="p"/>
              </m:rPr>
              <m:t>,</m:t>
            </m:r>
            <m:r>
              <m:t>ψ</m:t>
            </m:r>
          </m:e>
        </m:d>
      </m:oMath>
      <w:r>
        <w:t xml:space="preserve">. The largest and smallest optimizers</w:t>
      </w:r>
      <w:r>
        <w:t xml:space="preserve"> </w:t>
      </w:r>
      <m:oMath>
        <m:d>
          <m:dPr>
            <m:begChr m:val="("/>
            <m:endChr m:val=")"/>
            <m:sepChr m:val=""/>
            <m:grow/>
          </m:dPr>
          <m:e>
            <m:sSup>
              <m:e>
                <m:r>
                  <m:t>μ</m:t>
                </m:r>
              </m:e>
              <m:sup>
                <m:r>
                  <m:rPr>
                    <m:sty m:val="p"/>
                  </m:rPr>
                  <m:t>*</m:t>
                </m:r>
              </m:sup>
            </m:sSup>
            <m:r>
              <m:rPr>
                <m:sty m:val="p"/>
              </m:rPr>
              <m:t>,</m:t>
            </m:r>
            <m:sSup>
              <m:e>
                <m:r>
                  <m:t>R</m:t>
                </m:r>
              </m:e>
              <m:sup>
                <m:r>
                  <m:rPr>
                    <m:sty m:val="p"/>
                  </m:rPr>
                  <m:t>*</m:t>
                </m:r>
              </m:sup>
            </m:sSup>
          </m:e>
        </m:d>
      </m:oMath>
      <w:r>
        <w:t xml:space="preserve"> </w:t>
      </w:r>
      <w:r>
        <w:t xml:space="preserve">are therefore nondecreasing in</w:t>
      </w:r>
      <w:r>
        <w:t xml:space="preserve"> </w:t>
      </w:r>
      <m:oMath>
        <m:r>
          <m:t>ψ</m:t>
        </m:r>
      </m:oMath>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center"/>
            </w:pPr>
            <m:oMath>
              <m:r>
                <m:t>R</m:t>
              </m:r>
            </m:oMath>
          </w:p>
        </w:tc>
        <w:tc>
          <w:tcPr/>
          <w:p>
            <w:pPr>
              <w:pStyle w:val="Compact"/>
              <w:jc w:val="right"/>
            </w:pPr>
            <m:oMath>
              <m:sSub>
                <m:e>
                  <m:r>
                    <m:t>μ</m:t>
                  </m:r>
                </m:e>
                <m:sub>
                  <m:r>
                    <m:t>V</m:t>
                  </m:r>
                </m:sub>
              </m:sSub>
            </m:oMath>
          </w:p>
        </w:tc>
        <w:tc>
          <w:tcPr/>
          <w:p>
            <w:pPr>
              <w:pStyle w:val="Compact"/>
              <w:jc w:val="right"/>
            </w:pPr>
            <m:oMath>
              <m:sSub>
                <m:e>
                  <m:r>
                    <m:t>μ</m:t>
                  </m:r>
                </m:e>
                <m:sub>
                  <m:r>
                    <m:t>P</m:t>
                  </m:r>
                </m:sub>
              </m:sSub>
            </m:oMath>
          </w:p>
        </w:tc>
        <w:tc>
          <w:tcPr/>
          <w:p>
            <w:pPr>
              <w:pStyle w:val="Compact"/>
              <w:jc w:val="right"/>
            </w:pPr>
            <w:r>
              <w:t xml:space="preserve">Retrain boundary</w:t>
            </w:r>
          </w:p>
        </w:tc>
        <w:tc>
          <w:tcPr/>
          <w:p>
            <w:pPr>
              <w:pStyle w:val="Compact"/>
              <w:jc w:val="center"/>
            </w:pPr>
            <w:r>
              <w:t xml:space="preserve">Over-release?</w:t>
            </w:r>
          </w:p>
        </w:tc>
      </w:tr>
      <w:tr>
        <w:tc>
          <w:tcPr/>
          <w:p>
            <w:pPr>
              <w:pStyle w:val="Compact"/>
              <w:jc w:val="center"/>
            </w:pPr>
            <w:r>
              <w:t xml:space="preserve">0.3</w:t>
            </w:r>
          </w:p>
        </w:tc>
        <w:tc>
          <w:tcPr/>
          <w:p>
            <w:pPr>
              <w:pStyle w:val="Compact"/>
              <w:jc w:val="right"/>
            </w:pPr>
            <w:r>
              <w:t xml:space="preserve">2.48</w:t>
            </w:r>
          </w:p>
        </w:tc>
        <w:tc>
          <w:tcPr/>
          <w:p>
            <w:pPr>
              <w:pStyle w:val="Compact"/>
              <w:jc w:val="right"/>
            </w:pPr>
            <w:r>
              <w:t xml:space="preserve">1.84</w:t>
            </w:r>
          </w:p>
        </w:tc>
        <w:tc>
          <w:tcPr/>
          <w:p>
            <w:pPr>
              <w:pStyle w:val="Compact"/>
              <w:jc w:val="right"/>
            </w:pPr>
            <w:r>
              <w:t xml:space="preserve">3.68</w:t>
            </w:r>
          </w:p>
        </w:tc>
        <w:tc>
          <w:tcPr/>
          <w:p>
            <w:pPr>
              <w:pStyle w:val="Compact"/>
              <w:jc w:val="center"/>
            </w:pPr>
            <w:r>
              <w:t xml:space="preserve">Yes</w:t>
            </w:r>
          </w:p>
        </w:tc>
      </w:tr>
      <w:tr>
        <w:tc>
          <w:tcPr/>
          <w:p>
            <w:pPr>
              <w:pStyle w:val="Compact"/>
              <w:jc w:val="center"/>
            </w:pPr>
            <w:r>
              <w:t xml:space="preserve">0.5</w:t>
            </w:r>
          </w:p>
        </w:tc>
        <w:tc>
          <w:tcPr/>
          <w:p>
            <w:pPr>
              <w:pStyle w:val="Compact"/>
              <w:jc w:val="right"/>
            </w:pPr>
            <w:r>
              <w:t xml:space="preserve">2.58</w:t>
            </w:r>
          </w:p>
        </w:tc>
        <w:tc>
          <w:tcPr/>
          <w:p>
            <w:pPr>
              <w:pStyle w:val="Compact"/>
              <w:jc w:val="right"/>
            </w:pPr>
            <w:r>
              <w:t xml:space="preserve">2.02</w:t>
            </w:r>
          </w:p>
        </w:tc>
        <w:tc>
          <w:tcPr/>
          <w:p>
            <w:pPr>
              <w:pStyle w:val="Compact"/>
              <w:jc w:val="right"/>
            </w:pPr>
            <w:r>
              <w:t xml:space="preserve">5.36</w:t>
            </w:r>
          </w:p>
        </w:tc>
        <w:tc>
          <w:tcPr/>
          <w:p>
            <w:pPr>
              <w:pStyle w:val="Compact"/>
              <w:jc w:val="center"/>
            </w:pPr>
            <w:r>
              <w:t xml:space="preserve">Yes</w:t>
            </w:r>
          </w:p>
        </w:tc>
      </w:tr>
      <w:tr>
        <w:tc>
          <w:tcPr/>
          <w:p>
            <w:pPr>
              <w:pStyle w:val="Compact"/>
              <w:jc w:val="center"/>
            </w:pPr>
            <w:r>
              <w:t xml:space="preserve">0.7</w:t>
            </w:r>
          </w:p>
        </w:tc>
        <w:tc>
          <w:tcPr/>
          <w:p>
            <w:pPr>
              <w:pStyle w:val="Compact"/>
              <w:jc w:val="right"/>
            </w:pPr>
            <w:r>
              <w:t xml:space="preserve">2.86</w:t>
            </w:r>
          </w:p>
        </w:tc>
        <w:tc>
          <w:tcPr/>
          <w:p>
            <w:pPr>
              <w:pStyle w:val="Compact"/>
              <w:jc w:val="right"/>
            </w:pPr>
            <w:r>
              <w:t xml:space="preserve">2.61</w:t>
            </w:r>
          </w:p>
        </w:tc>
        <w:tc>
          <w:tcPr/>
          <w:p>
            <w:pPr>
              <w:pStyle w:val="Compact"/>
              <w:jc w:val="right"/>
            </w:pPr>
            <w:r>
              <w:t xml:space="preserve">9.85</w:t>
            </w:r>
          </w:p>
        </w:tc>
        <w:tc>
          <w:tcPr/>
          <w:p>
            <w:pPr>
              <w:pStyle w:val="Compact"/>
              <w:jc w:val="center"/>
            </w:pPr>
            <w:r>
              <w:t xml:space="preserve">Yes</w:t>
            </w:r>
          </w:p>
        </w:tc>
      </w:tr>
      <w:tr>
        <w:tc>
          <w:tcPr/>
          <w:p>
            <w:pPr>
              <w:pStyle w:val="Compact"/>
              <w:jc w:val="center"/>
            </w:pPr>
            <w:r>
              <w:t xml:space="preserve">0.8</w:t>
            </w:r>
          </w:p>
        </w:tc>
        <w:tc>
          <w:tcPr/>
          <w:p>
            <w:pPr>
              <w:pStyle w:val="Compact"/>
              <w:jc w:val="right"/>
            </w:pPr>
            <w:r>
              <w:t xml:space="preserve">3.30</w:t>
            </w:r>
          </w:p>
        </w:tc>
        <w:tc>
          <w:tcPr/>
          <w:p>
            <w:pPr>
              <w:pStyle w:val="Compact"/>
              <w:jc w:val="right"/>
            </w:pPr>
            <w:r>
              <w:t xml:space="preserve">4.08</w:t>
            </w:r>
          </w:p>
        </w:tc>
        <w:tc>
          <w:tcPr/>
          <w:p>
            <w:pPr>
              <w:pStyle w:val="Compact"/>
              <w:jc w:val="right"/>
            </w:pPr>
            <w:r>
              <w:t xml:space="preserve">16.98</w:t>
            </w:r>
          </w:p>
        </w:tc>
        <w:tc>
          <w:tcPr/>
          <w:p>
            <w:pPr>
              <w:pStyle w:val="Compact"/>
              <w:jc w:val="center"/>
            </w:pPr>
            <w:r>
              <w:t xml:space="preserve">No</w:t>
            </w:r>
          </w:p>
        </w:tc>
      </w:tr>
    </w:tbl>
    <w:p>
      <w:pPr>
        <w:pStyle w:val="BodyText"/>
      </w:pPr>
      <w:r>
        <w:rPr>
          <w:iCs/>
          <w:i/>
        </w:rPr>
        <w:t xml:space="preserve">Table 5. Monopoly intensity by recovery rate (</w:t>
      </w:r>
      <m:oMath>
        <m:r>
          <m:t>ρ</m:t>
        </m:r>
        <m:r>
          <m:rPr>
            <m:sty m:val="p"/>
          </m:rPr>
          <m:t>=</m:t>
        </m:r>
        <m:r>
          <m:t>0.10</m:t>
        </m:r>
      </m:oMath>
      <w:r>
        <w:rPr>
          <w:iCs/>
          <w:i/>
        </w:rPr>
        <w:t xml:space="preserve">,</w:t>
      </w:r>
      <w:r>
        <w:rPr>
          <w:iCs/>
          <w:i/>
        </w:rPr>
        <w:t xml:space="preserve"> </w:t>
      </w:r>
      <m:oMath>
        <m:sSub>
          <m:e>
            <m:r>
              <m:t>C</m:t>
            </m:r>
          </m:e>
          <m:sub>
            <m:r>
              <m:t>N</m:t>
            </m:r>
          </m:sub>
        </m:sSub>
        <m:r>
          <m:rPr>
            <m:sty m:val="p"/>
          </m:rPr>
          <m:t>=</m:t>
        </m:r>
        <m:r>
          <m:t>1</m:t>
        </m:r>
      </m:oMath>
      <w:r>
        <w:rPr>
          <w:iCs/>
          <w:i/>
        </w:rPr>
        <w:t xml:space="preserve">,</w:t>
      </w:r>
      <w:r>
        <w:rPr>
          <w:iCs/>
          <w:i/>
        </w:rPr>
        <w:t xml:space="preserve"> </w:t>
      </w:r>
      <m:oMath>
        <m:r>
          <m:t>v</m:t>
        </m:r>
        <m:r>
          <m:rPr>
            <m:sty m:val="p"/>
          </m:rPr>
          <m:t>∼</m:t>
        </m:r>
        <m:r>
          <m:t>U</m:t>
        </m:r>
        <m:d>
          <m:dPr>
            <m:begChr m:val="["/>
            <m:endChr m:val="]"/>
            <m:sepChr m:val=""/>
            <m:grow/>
          </m:dPr>
          <m:e>
            <m:r>
              <m:t>0</m:t>
            </m:r>
            <m:r>
              <m:rPr>
                <m:sty m:val="p"/>
              </m:rPr>
              <m:t>,</m:t>
            </m:r>
            <m:r>
              <m:t>40</m:t>
            </m:r>
          </m:e>
        </m:d>
      </m:oMath>
      <w:r>
        <w:rPr>
          <w:iCs/>
          <w:i/>
        </w:rPr>
        <w:t xml:space="preserve">,</w:t>
      </w:r>
      <w:r>
        <w:rPr>
          <w:iCs/>
          <w:i/>
        </w:rPr>
        <w:t xml:space="preserve"> </w:t>
      </w:r>
      <m:oMath>
        <m:r>
          <m:t>b</m:t>
        </m:r>
        <m:r>
          <m:rPr>
            <m:sty m:val="p"/>
          </m:rPr>
          <m:t>=</m:t>
        </m:r>
        <m:r>
          <m:t>7</m:t>
        </m:r>
      </m:oMath>
      <w:r>
        <w:rPr>
          <w:iCs/>
          <w:i/>
        </w:rPr>
        <w:t xml:space="preserve">,</w:t>
      </w:r>
      <w:r>
        <w:rPr>
          <w:iCs/>
          <w:i/>
        </w:rPr>
        <w:t xml:space="preserve"> </w:t>
      </w:r>
      <m:oMath>
        <m:r>
          <m:t>ψ</m:t>
        </m:r>
        <m:r>
          <m:rPr>
            <m:sty m:val="p"/>
          </m:rPr>
          <m:t>=</m:t>
        </m:r>
        <m:r>
          <m:t>6</m:t>
        </m:r>
      </m:oMath>
      <w:r>
        <w:rPr>
          <w:iCs/>
          <w:i/>
        </w:rPr>
        <w:t xml:space="preserve">,</w:t>
      </w:r>
      <w:r>
        <w:rPr>
          <w:iCs/>
          <w:i/>
        </w:rPr>
        <w:t xml:space="preserve"> </w:t>
      </w:r>
      <m:oMath>
        <m:r>
          <m:t>c</m:t>
        </m:r>
        <m:r>
          <m:rPr>
            <m:sty m:val="p"/>
          </m:rPr>
          <m:t>=</m:t>
        </m:r>
        <m:r>
          <m:t>2</m:t>
        </m:r>
      </m:oMath>
      <w:r>
        <w:rPr>
          <w:iCs/>
          <w:i/>
        </w:rPr>
        <w:t xml:space="preserve">,</w:t>
      </w:r>
      <w:r>
        <w:rPr>
          <w:iCs/>
          <w:i/>
        </w:rPr>
        <w:t xml:space="preserve"> </w:t>
      </w:r>
      <m:oMath>
        <m:r>
          <m:t>θ</m:t>
        </m:r>
        <m:r>
          <m:rPr>
            <m:sty m:val="p"/>
          </m:rPr>
          <m:t>=</m:t>
        </m:r>
        <m:r>
          <m:t>0.5</m:t>
        </m:r>
      </m:oMath>
      <w:r>
        <w:rPr>
          <w:iCs/>
          <w:i/>
        </w:rPr>
        <w:t xml:space="preserve">).</w:t>
      </w:r>
    </w:p>
    <w:p>
      <w:pPr>
        <w:pStyle w:val="BodyText"/>
      </w:pPr>
      <w:r>
        <w:rPr>
          <w:iCs/>
          <w:i/>
        </w:rPr>
        <w:t xml:space="preserve">[Figure 1 here: change in firm surplus when</w:t>
      </w:r>
      <w:r>
        <w:rPr>
          <w:iCs/>
          <w:i/>
        </w:rPr>
        <w:t xml:space="preserve"> </w:t>
      </w:r>
      <m:oMath>
        <m:r>
          <m:t>R</m:t>
        </m:r>
      </m:oMath>
      <w:r>
        <w:rPr>
          <w:iCs/>
          <w:i/>
        </w:rPr>
        <w:t xml:space="preserve"> </w:t>
      </w:r>
      <w:r>
        <w:rPr>
          <w:iCs/>
          <w:i/>
        </w:rPr>
        <w:t xml:space="preserve">rises from 0.5 to 0.7 under the monopoly best response. Retraining firms with</w:t>
      </w:r>
      <w:r>
        <w:rPr>
          <w:iCs/>
          <w:i/>
        </w:rPr>
        <w:t xml:space="preserve"> </w:t>
      </w:r>
      <m:oMath>
        <m:r>
          <m:t>v</m:t>
        </m:r>
        <m:r>
          <m:rPr>
            <m:sty m:val="p"/>
          </m:rPr>
          <m:t>≳</m:t>
        </m:r>
        <m:r>
          <m:t>9.57</m:t>
        </m:r>
      </m:oMath>
      <w:r>
        <w:rPr>
          <w:iCs/>
          <w:i/>
        </w:rPr>
        <w:t xml:space="preserve"> </w:t>
      </w:r>
      <w:r>
        <w:rPr>
          <w:iCs/>
          <w:i/>
        </w:rPr>
        <w:t xml:space="preserve">lose through the cadence effect. Reuse the figure from the original submission.]</w:t>
      </w:r>
    </w:p>
    <w:p>
      <w:pPr>
        <w:pStyle w:val="BodyText"/>
      </w:pPr>
      <w:r>
        <w:rPr>
          <w:iCs/>
          <w:i/>
        </w:rPr>
        <w:t xml:space="preserve">[Figure 3 here: equilibrium intensity as a function of</w:t>
      </w:r>
      <w:r>
        <w:rPr>
          <w:iCs/>
          <w:i/>
        </w:rPr>
        <w:t xml:space="preserve"> </w:t>
      </w:r>
      <m:oMath>
        <m:r>
          <m:t>R</m:t>
        </m:r>
      </m:oMath>
      <w:r>
        <w:rPr>
          <w:iCs/>
          <w:i/>
        </w:rPr>
        <w:t xml:space="preserve"> </w:t>
      </w:r>
      <w:r>
        <w:rPr>
          <w:iCs/>
          <w:i/>
        </w:rPr>
        <w:t xml:space="preserve">under monopoly and symmetric duopoly. Reuse the figure from the original submission.]</w:t>
      </w:r>
    </w:p>
    <w:bookmarkEnd w:id="28"/>
    <w:bookmarkStart w:id="29" w:name="X1c69e124814dbb6ac5315d286702bcb5f0461bf"/>
    <w:p>
      <w:pPr>
        <w:pStyle w:val="Heading2"/>
      </w:pPr>
      <w:r>
        <w:t xml:space="preserve">6. Competing Platform Owners and the One-Third Rule</w:t>
      </w:r>
    </w:p>
    <w:p>
      <w:pPr>
        <w:pStyle w:val="FirstParagraph"/>
      </w:pPr>
      <w:r>
        <w:t xml:space="preserve">Owners first choose intensities (and, later, compatibilities) simultaneously, then set enterprise prices, then firms choose an owner and stay with it. A firm of value</w:t>
      </w:r>
      <w:r>
        <w:t xml:space="preserve"> </w:t>
      </w:r>
      <m:oMath>
        <m:r>
          <m:t>v</m:t>
        </m:r>
      </m:oMath>
      <w:r>
        <w:t xml:space="preserve"> </w:t>
      </w:r>
      <w:r>
        <w:t xml:space="preserve">obtains</w:t>
      </w:r>
      <w:r>
        <w:t xml:space="preserve"> </w:t>
      </w:r>
      <m:oMath>
        <m:r>
          <m:t>s</m:t>
        </m:r>
        <m:d>
          <m:dPr>
            <m:begChr m:val="("/>
            <m:endChr m:val=")"/>
            <m:sepChr m:val=""/>
            <m:grow/>
          </m:dPr>
          <m:e>
            <m:sSub>
              <m:e>
                <m:r>
                  <m:t>μ</m:t>
                </m:r>
              </m:e>
              <m:sub>
                <m:r>
                  <m:t>i</m:t>
                </m:r>
              </m:sub>
            </m:sSub>
            <m:r>
              <m:rPr>
                <m:sty m:val="p"/>
              </m:rPr>
              <m:t>,</m:t>
            </m:r>
            <m:r>
              <m:t>v</m:t>
            </m:r>
            <m:r>
              <m:rPr>
                <m:sty m:val="p"/>
              </m:rPr>
              <m:t>;</m:t>
            </m:r>
            <m:sSub>
              <m:e>
                <m:r>
                  <m:t>R</m:t>
                </m:r>
              </m:e>
              <m:sub>
                <m:r>
                  <m:t>i</m:t>
                </m:r>
              </m:sub>
            </m:sSub>
          </m:e>
        </m:d>
        <m:r>
          <m:rPr>
            <m:sty m:val="p"/>
          </m:rPr>
          <m:t>−</m:t>
        </m:r>
        <m:sSub>
          <m:e>
            <m:r>
              <m:t>p</m:t>
            </m:r>
          </m:e>
          <m:sub>
            <m:r>
              <m:t>i</m:t>
            </m:r>
          </m:sub>
        </m:sSub>
        <m:r>
          <m:rPr>
            <m:sty m:val="p"/>
          </m:rPr>
          <m:t>+</m:t>
        </m:r>
        <m:r>
          <m:t>η</m:t>
        </m:r>
        <m:sSub>
          <m:e>
            <m:r>
              <m:t>ε</m:t>
            </m:r>
          </m:e>
          <m:sub>
            <m:r>
              <m:t>i</m:t>
            </m:r>
          </m:sub>
        </m:sSub>
      </m:oMath>
      <w:r>
        <w:t xml:space="preserve"> </w:t>
      </w:r>
      <w:r>
        <w:t xml:space="preserve">from owner</w:t>
      </w:r>
      <w:r>
        <w:t xml:space="preserve"> </w:t>
      </w:r>
      <m:oMath>
        <m:r>
          <m:t>i</m:t>
        </m:r>
      </m:oMath>
      <w:r>
        <w:t xml:space="preserve">, with</w:t>
      </w:r>
      <w:r>
        <w:t xml:space="preserve"> </w:t>
      </w:r>
      <m:oMath>
        <m:sSub>
          <m:e>
            <m:r>
              <m:t>ε</m:t>
            </m:r>
          </m:e>
          <m:sub>
            <m:r>
              <m:t>i</m:t>
            </m:r>
          </m:sub>
        </m:sSub>
      </m:oMath>
      <w:r>
        <w:t xml:space="preserve"> </w:t>
      </w:r>
      <w:r>
        <w:t xml:space="preserve">i.i.d. Gumbel. A general-market prize</w:t>
      </w:r>
      <w:r>
        <w:t xml:space="preserve"> </w:t>
      </w:r>
      <m:oMath>
        <m:r>
          <m:t>H</m:t>
        </m:r>
      </m:oMath>
      <w:r>
        <w:t xml:space="preserve"> </w:t>
      </w:r>
      <w:r>
        <w:t xml:space="preserve">is split by a Tullock contest (Tullock 1980) in intensities. Let</w:t>
      </w:r>
      <w:r>
        <w:t xml:space="preserve"> </w:t>
      </w:r>
      <m:oMath>
        <m:r>
          <m:t>a</m:t>
        </m:r>
        <m:r>
          <m:rPr>
            <m:sty m:val="p"/>
          </m:rPr>
          <m:t>≥</m:t>
        </m:r>
        <m:r>
          <m:t>0</m:t>
        </m:r>
      </m:oMath>
      <w:r>
        <w:t xml:space="preserve"> </w:t>
      </w:r>
      <w:r>
        <w:t xml:space="preserve">denote the planner’s marginal valuation of the general-market benefit of intensity.</w:t>
      </w:r>
    </w:p>
    <w:p>
      <w:pPr>
        <w:pStyle w:val="BodyText"/>
      </w:pPr>
      <w:r>
        <w:rPr>
          <w:bCs/>
          <w:b/>
        </w:rPr>
        <w:t xml:space="preserve">Proposition 9 (One-third rule).</w:t>
      </w:r>
      <w:r>
        <w:t xml:space="preserve"> </w:t>
      </w:r>
      <w:r>
        <w:t xml:space="preserve">Let</w:t>
      </w:r>
      <w:r>
        <w:t xml:space="preserve"> </w:t>
      </w:r>
      <m:oMath>
        <m:r>
          <m:t>R</m:t>
        </m:r>
      </m:oMath>
      <w:r>
        <w:t xml:space="preserve"> </w:t>
      </w:r>
      <w:r>
        <w:t xml:space="preserve">be exogenous and common. In a symmetric subgame-perfect equilibrium, (a) prices are</w:t>
      </w:r>
      <w:r>
        <w:t xml:space="preserve"> </w:t>
      </w:r>
      <m:oMath>
        <m:sSup>
          <m:e>
            <m:r>
              <m:t>p</m:t>
            </m:r>
          </m:e>
          <m:sup>
            <m:r>
              <m:rPr>
                <m:sty m:val="p"/>
              </m:rPr>
              <m:t>*</m:t>
            </m:r>
          </m:sup>
        </m:sSup>
        <m:r>
          <m:rPr>
            <m:sty m:val="p"/>
          </m:rPr>
          <m:t>=</m:t>
        </m:r>
        <m:r>
          <m:t>2</m:t>
        </m:r>
        <m:r>
          <m:t>η</m:t>
        </m:r>
      </m:oMath>
      <w:r>
        <w:t xml:space="preserve">, independent of</w:t>
      </w:r>
      <w:r>
        <w:t xml:space="preserve"> </w:t>
      </w:r>
      <m:oMath>
        <m:r>
          <m:t>μ</m:t>
        </m:r>
      </m:oMath>
      <w:r>
        <w:t xml:space="preserve"> </w:t>
      </w:r>
      <w:r>
        <w:t xml:space="preserve">and</w:t>
      </w:r>
      <w:r>
        <w:t xml:space="preserve"> </w:t>
      </w:r>
      <m:oMath>
        <m:r>
          <m:t>R</m:t>
        </m:r>
      </m:oMath>
      <w:r>
        <w:t xml:space="preserve">; (b)</w:t>
      </w:r>
      <w:r>
        <w:t xml:space="preserve"> </w:t>
      </w:r>
      <m:oMath>
        <m:sSup>
          <m:e>
            <m:r>
              <m:t>μ</m:t>
            </m:r>
          </m:e>
          <m:sup>
            <m:r>
              <m:rPr>
                <m:sty m:val="p"/>
              </m:rPr>
              <m:t>*</m:t>
            </m:r>
          </m:sup>
        </m:sSup>
      </m:oMath>
      <w:r>
        <w:t xml:space="preserve"> </w:t>
      </w:r>
      <w:r>
        <w:t xml:space="preserve">satisfies</w:t>
      </w:r>
      <w:r>
        <w:t xml:space="preserve"> </w:t>
      </w:r>
      <m:oMath>
        <m:f>
          <m:fPr>
            <m:type m:val="bar"/>
          </m:fPr>
          <m:num>
            <m:r>
              <m:t>H</m:t>
            </m:r>
          </m:num>
          <m:den>
            <m:r>
              <m:t>4</m:t>
            </m:r>
            <m:sSup>
              <m:e>
                <m:r>
                  <m:t>μ</m:t>
                </m:r>
              </m:e>
              <m:sup>
                <m:r>
                  <m:rPr>
                    <m:sty m:val="p"/>
                  </m:rPr>
                  <m:t>*</m:t>
                </m:r>
              </m:sup>
            </m:sSup>
          </m:den>
        </m:f>
        <m:r>
          <m:rPr>
            <m:sty m:val="p"/>
          </m:rPr>
          <m:t>+</m:t>
        </m:r>
        <m:f>
          <m:fPr>
            <m:type m:val="bar"/>
          </m:fPr>
          <m:num>
            <m:r>
              <m:t>n</m:t>
            </m:r>
          </m:num>
          <m:den>
            <m:r>
              <m:t>3</m:t>
            </m:r>
          </m:den>
        </m:f>
        <m:r>
          <m:t>E</m:t>
        </m:r>
        <m:d>
          <m:dPr>
            <m:begChr m:val="["/>
            <m:endChr m:val="]"/>
            <m:sepChr m:val=""/>
            <m:grow/>
          </m:dPr>
          <m:e>
            <m:sSub>
              <m:e>
                <m:r>
                  <m:t>s</m:t>
                </m:r>
              </m:e>
              <m:sub>
                <m:r>
                  <m:t>μ</m:t>
                </m:r>
              </m:sub>
            </m:sSub>
          </m:e>
        </m:d>
        <m:r>
          <m:rPr>
            <m:sty m:val="p"/>
          </m:rPr>
          <m:t>−</m:t>
        </m:r>
        <m:r>
          <m:t>c</m:t>
        </m:r>
        <m:sSup>
          <m:e>
            <m:r>
              <m:t>μ</m:t>
            </m:r>
          </m:e>
          <m:sup>
            <m:r>
              <m:rPr>
                <m:sty m:val="p"/>
              </m:rPr>
              <m:t>*</m:t>
            </m:r>
          </m:sup>
        </m:sSup>
        <m:r>
          <m:rPr>
            <m:sty m:val="p"/>
          </m:rPr>
          <m:t>=</m:t>
        </m:r>
        <m:r>
          <m:t>0</m:t>
        </m:r>
      </m:oMath>
      <w:r>
        <w:t xml:space="preserve">; (c) each owner internalizes the marginal change in enterprise surplus with weight exactly one-third, regardless of</w:t>
      </w:r>
      <w:r>
        <w:t xml:space="preserve"> </w:t>
      </w:r>
      <m:oMath>
        <m:r>
          <m:t>η</m:t>
        </m:r>
      </m:oMath>
      <w:r>
        <w:t xml:space="preserve"> </w:t>
      </w:r>
      <w:r>
        <w:t xml:space="preserve">and of</w:t>
      </w:r>
      <w:r>
        <w:t xml:space="preserve"> </w:t>
      </w:r>
      <m:oMath>
        <m:r>
          <m:t>F</m:t>
        </m:r>
      </m:oMath>
      <w:r>
        <w:t xml:space="preserve">.</w:t>
      </w:r>
    </w:p>
    <w:p>
      <w:pPr>
        <w:pStyle w:val="BodyText"/>
      </w:pPr>
      <w:r>
        <w:rPr>
          <w:bCs/>
          <w:b/>
        </w:rPr>
        <w:t xml:space="preserve">Proposition 10 (Efficiency under competition).</w:t>
      </w:r>
      <w:r>
        <w:t xml:space="preserve"> </w:t>
      </w:r>
      <w:r>
        <w:t xml:space="preserve">If the planner’s objective is concave, the symmetric equilibrium over-releases if and only if</w:t>
      </w:r>
      <w:r>
        <w:t xml:space="preserve"> </w:t>
      </w:r>
      <m:oMath>
        <m:r>
          <m:t>a</m:t>
        </m:r>
        <m:r>
          <m:rPr>
            <m:sty m:val="p"/>
          </m:rPr>
          <m:t>+</m:t>
        </m:r>
        <m:d>
          <m:dPr>
            <m:begChr m:val="("/>
            <m:endChr m:val=")"/>
            <m:sepChr m:val=""/>
            <m:grow/>
          </m:dPr>
          <m:e>
            <m:r>
              <m:t>n</m:t>
            </m:r>
            <m:r>
              <m:rPr>
                <m:sty m:val="p"/>
              </m:rPr>
              <m:t>/</m:t>
            </m:r>
            <m:r>
              <m:t>6</m:t>
            </m:r>
          </m:e>
        </m:d>
        <m:r>
          <m:t>E</m:t>
        </m:r>
        <m:d>
          <m:dPr>
            <m:begChr m:val="["/>
            <m:endChr m:val="]"/>
            <m:sepChr m:val=""/>
            <m:grow/>
          </m:dPr>
          <m:e>
            <m:sSub>
              <m:e>
                <m:r>
                  <m:t>s</m:t>
                </m:r>
              </m:e>
              <m:sub>
                <m:r>
                  <m:t>μ</m:t>
                </m:r>
              </m:sub>
            </m:sSub>
          </m:e>
        </m:d>
        <m:r>
          <m:rPr>
            <m:sty m:val="p"/>
          </m:rPr>
          <m:t>−</m:t>
        </m:r>
        <m:r>
          <m:t>H</m:t>
        </m:r>
        <m:r>
          <m:rPr>
            <m:sty m:val="p"/>
          </m:rPr>
          <m:t>/</m:t>
        </m:r>
        <m:d>
          <m:dPr>
            <m:begChr m:val="("/>
            <m:endChr m:val=")"/>
            <m:sepChr m:val=""/>
            <m:grow/>
          </m:dPr>
          <m:e>
            <m:r>
              <m:t>4</m:t>
            </m:r>
            <m:sSup>
              <m:e>
                <m:r>
                  <m:t>μ</m:t>
                </m:r>
              </m:e>
              <m:sup>
                <m:r>
                  <m:rPr>
                    <m:sty m:val="p"/>
                  </m:rPr>
                  <m:t>*</m:t>
                </m:r>
              </m:sup>
            </m:sSup>
          </m:e>
        </m:d>
        <m:r>
          <m:rPr>
            <m:sty m:val="p"/>
          </m:rPr>
          <m:t>&lt;</m:t>
        </m:r>
        <m:r>
          <m:t>0</m:t>
        </m:r>
      </m:oMath>
      <w:r>
        <w:t xml:space="preserve">. Over-release has two sources: rent-seeking in the race and under-internalization of enterprise surplus (weight 1/3 against the planner’s per-owner weight 1/2).</w:t>
      </w:r>
    </w:p>
    <w:p>
      <w:pPr>
        <w:pStyle w:val="BodyText"/>
      </w:pPr>
      <w:r>
        <w:rPr>
          <w:bCs/>
          <w:b/>
        </w:rPr>
        <w:t xml:space="preserve">Proposition 11 (Complementarity under competition).</w:t>
      </w:r>
      <w:r>
        <w:t xml:space="preserve"> </w:t>
      </w:r>
      <w:r>
        <w:t xml:space="preserve">For any</w:t>
      </w:r>
      <w:r>
        <w:t xml:space="preserve"> </w:t>
      </w:r>
      <m:oMath>
        <m:r>
          <m:t>F</m:t>
        </m:r>
      </m:oMath>
      <w:r>
        <w:t xml:space="preserve">,</w:t>
      </w:r>
      <w:r>
        <w:t xml:space="preserve"> </w:t>
      </w:r>
      <m:oMath>
        <m:r>
          <m:t>d</m:t>
        </m:r>
        <m:sSup>
          <m:e>
            <m:r>
              <m:t>μ</m:t>
            </m:r>
          </m:e>
          <m:sup>
            <m:r>
              <m:rPr>
                <m:sty m:val="p"/>
              </m:rPr>
              <m:t>*</m:t>
            </m:r>
          </m:sup>
        </m:sSup>
        <m:r>
          <m:rPr>
            <m:sty m:val="p"/>
          </m:rPr>
          <m:t>/</m:t>
        </m:r>
        <m:r>
          <m:t>d</m:t>
        </m:r>
        <m:r>
          <m:t>R</m:t>
        </m:r>
        <m:r>
          <m:rPr>
            <m:sty m:val="p"/>
          </m:rPr>
          <m:t>&gt;</m:t>
        </m:r>
        <m:r>
          <m:t>0</m:t>
        </m:r>
      </m:oMath>
      <w:r>
        <w:t xml:space="preserve"> </w:t>
      </w:r>
      <w:r>
        <w:t xml:space="preserve">in the symmetric equilibrium. If</w:t>
      </w:r>
      <w:r>
        <w:t xml:space="preserve"> </w:t>
      </w:r>
      <m:oMath>
        <m:r>
          <m:t>b</m:t>
        </m:r>
        <m:r>
          <m:rPr>
            <m:sty m:val="p"/>
          </m:rPr>
          <m:t>&lt;</m:t>
        </m:r>
        <m:sSub>
          <m:e>
            <m:r>
              <m:t>C</m:t>
            </m:r>
          </m:e>
          <m:sub>
            <m:r>
              <m:t>N</m:t>
            </m:r>
          </m:sub>
        </m:sSub>
        <m:r>
          <m:rPr>
            <m:sty m:val="p"/>
          </m:rPr>
          <m:t>/</m:t>
        </m:r>
        <m:r>
          <m:t>ρ</m:t>
        </m:r>
      </m:oMath>
      <w:r>
        <w:t xml:space="preserve">, firms that keep retraining lose when</w:t>
      </w:r>
      <w:r>
        <w:t xml:space="preserve"> </w:t>
      </w:r>
      <m:oMath>
        <m:r>
          <m:t>R</m:t>
        </m:r>
      </m:oMath>
      <w:r>
        <w:t xml:space="preserve"> </w:t>
      </w:r>
      <w:r>
        <w:t xml:space="preserve">improves. Evaluated at the same</w:t>
      </w:r>
      <w:r>
        <w:t xml:space="preserve"> </w:t>
      </w:r>
      <m:oMath>
        <m:r>
          <m:t>μ</m:t>
        </m:r>
      </m:oMath>
      <w:r>
        <w:t xml:space="preserve">, the rebound</w:t>
      </w:r>
      <w:r>
        <w:t xml:space="preserve"> </w:t>
      </w:r>
      <m:oMath>
        <m:r>
          <m:t>d</m:t>
        </m:r>
        <m:sSup>
          <m:e>
            <m:r>
              <m:t>μ</m:t>
            </m:r>
          </m:e>
          <m:sup>
            <m:r>
              <m:rPr>
                <m:sty m:val="p"/>
              </m:rPr>
              <m:t>*</m:t>
            </m:r>
          </m:sup>
        </m:sSup>
        <m:r>
          <m:rPr>
            <m:sty m:val="p"/>
          </m:rPr>
          <m:t>/</m:t>
        </m:r>
        <m:r>
          <m:t>d</m:t>
        </m:r>
        <m:r>
          <m:t>R</m:t>
        </m:r>
      </m:oMath>
      <w:r>
        <w:t xml:space="preserve"> </w:t>
      </w:r>
      <w:r>
        <w:t xml:space="preserve">is smaller than the monopoly rebound whenever</w:t>
      </w:r>
      <w:r>
        <w:t xml:space="preserve"> </w:t>
      </w:r>
      <m:oMath>
        <m:r>
          <m:t>θ</m:t>
        </m:r>
        <m:r>
          <m:rPr>
            <m:sty m:val="p"/>
          </m:rPr>
          <m:t>≥</m:t>
        </m:r>
        <m:r>
          <m:t>1</m:t>
        </m:r>
        <m:r>
          <m:rPr>
            <m:sty m:val="p"/>
          </m:rPr>
          <m:t>/</m:t>
        </m:r>
        <m:r>
          <m:t>3</m:t>
        </m:r>
      </m:oMath>
      <w:r>
        <w:t xml:space="preserve">.</w:t>
      </w:r>
    </w:p>
    <w:p>
      <w:pPr>
        <w:pStyle w:val="BodyText"/>
      </w:pPr>
      <w:r>
        <w:t xml:space="preserve">Raising</w:t>
      </w:r>
      <w:r>
        <w:t xml:space="preserve"> </w:t>
      </w:r>
      <m:oMath>
        <m:r>
          <m:t>R</m:t>
        </m:r>
      </m:oMath>
      <w:r>
        <w:t xml:space="preserve"> </w:t>
      </w:r>
      <w:r>
        <w:t xml:space="preserve">from 0.5 to 0.7 raises</w:t>
      </w:r>
      <w:r>
        <w:t xml:space="preserve"> </w:t>
      </w:r>
      <m:oMath>
        <m:sSup>
          <m:e>
            <m:r>
              <m:t>μ</m:t>
            </m:r>
          </m:e>
          <m:sup>
            <m:r>
              <m:rPr>
                <m:sty m:val="p"/>
              </m:rPr>
              <m:t>*</m:t>
            </m:r>
          </m:sup>
        </m:sSup>
      </m:oMath>
      <w:r>
        <w:t xml:space="preserve"> </w:t>
      </w:r>
      <w:r>
        <w:t xml:space="preserve">only from 0.928 to 0.952, against 2.58 to 2.86 under monopoly.</w:t>
      </w:r>
    </w:p>
    <w:p>
      <w:pPr>
        <w:pStyle w:val="BodyText"/>
      </w:pPr>
      <w:r>
        <w:rPr>
          <w:bCs/>
          <w:b/>
        </w:rPr>
        <w:t xml:space="preserve">Proposition 12 (Numerical differentiation).</w:t>
      </w:r>
      <w:r>
        <w:t xml:space="preserve"> </w:t>
      </w:r>
      <w:r>
        <w:t xml:space="preserve">When each owner also chooses</w:t>
      </w:r>
      <w:r>
        <w:t xml:space="preserve"> </w:t>
      </w:r>
      <m:oMath>
        <m:sSub>
          <m:e>
            <m:r>
              <m:t>R</m:t>
            </m:r>
          </m:e>
          <m:sub>
            <m:r>
              <m:t>i</m:t>
            </m:r>
          </m:sub>
        </m:sSub>
      </m:oMath>
      <w:r>
        <w:t xml:space="preserve"> </w:t>
      </w:r>
      <w:r>
        <w:t xml:space="preserve">at cost</w:t>
      </w:r>
      <w:r>
        <w:t xml:space="preserve"> </w:t>
      </w:r>
      <m:oMath>
        <m:r>
          <m:t>Z</m:t>
        </m:r>
        <m:d>
          <m:dPr>
            <m:begChr m:val="("/>
            <m:endChr m:val=")"/>
            <m:sepChr m:val=""/>
            <m:grow/>
          </m:dPr>
          <m:e>
            <m:r>
              <m:t>R</m:t>
            </m:r>
          </m:e>
        </m:d>
        <m:r>
          <m:rPr>
            <m:sty m:val="p"/>
          </m:rPr>
          <m:t>=</m:t>
        </m:r>
        <m:r>
          <m:t>z</m:t>
        </m:r>
        <m:sSup>
          <m:e>
            <m:r>
              <m:t>R</m:t>
            </m:r>
          </m:e>
          <m:sup>
            <m:r>
              <m:t>2</m:t>
            </m:r>
          </m:sup>
        </m:sSup>
        <m:r>
          <m:rPr>
            <m:sty m:val="p"/>
          </m:rPr>
          <m:t>/</m:t>
        </m:r>
        <m:d>
          <m:dPr>
            <m:begChr m:val="("/>
            <m:endChr m:val=")"/>
            <m:sepChr m:val=""/>
            <m:grow/>
          </m:dPr>
          <m:e>
            <m:r>
              <m:t>1</m:t>
            </m:r>
            <m:r>
              <m:rPr>
                <m:sty m:val="p"/>
              </m:rPr>
              <m:t>−</m:t>
            </m:r>
            <m:r>
              <m:t>R</m:t>
            </m:r>
          </m:e>
        </m:d>
      </m:oMath>
      <w:r>
        <w:t xml:space="preserve">, the symmetric candidate is an equilibrium at weak race intensity and fails at intermediate race intensity. At the latter, an asymmetric equilibrium appears: a frontier owner that is fast and compatible and a stable owner that is slow and sparse. Mid-value transferring firms sort to the frontier owner; the highest-value retraining firms lean to the stable owner. When the race is very intense both owners become fast and compatible. These are grid-search findings at one parameterization. Multiple equilibria exist at some</w:t>
      </w:r>
      <w:r>
        <w:t xml:space="preserve"> </w:t>
      </w:r>
      <m:oMath>
        <m:r>
          <m:t>H</m:t>
        </m:r>
      </m:oMath>
      <w:r>
        <w:t xml:space="preserve">.</w:t>
      </w:r>
    </w:p>
    <w:p>
      <w:pPr>
        <w:pStyle w:val="BodyText"/>
      </w:pPr>
      <w:r>
        <w:t xml:space="preserve">With</w:t>
      </w:r>
      <w:r>
        <w:t xml:space="preserve"> </w:t>
      </w:r>
      <m:oMath>
        <m:r>
          <m:t>z</m:t>
        </m:r>
        <m:r>
          <m:rPr>
            <m:sty m:val="p"/>
          </m:rPr>
          <m:t>=</m:t>
        </m:r>
        <m:r>
          <m:t>0.1</m:t>
        </m:r>
      </m:oMath>
      <w:r>
        <w:t xml:space="preserve"> </w:t>
      </w:r>
      <w:r>
        <w:t xml:space="preserve">and</w:t>
      </w:r>
      <w:r>
        <w:t xml:space="preserve"> </w:t>
      </w:r>
      <m:oMath>
        <m:r>
          <m:t>η</m:t>
        </m:r>
        <m:r>
          <m:rPr>
            <m:sty m:val="p"/>
          </m:rPr>
          <m:t>=</m:t>
        </m:r>
        <m:r>
          <m:t>10</m:t>
        </m:r>
      </m:oMath>
      <w:r>
        <w:t xml:space="preserve"> </w:t>
      </w:r>
      <w:r>
        <w:t xml:space="preserve">the asymmetric pair at</w:t>
      </w:r>
      <w:r>
        <w:t xml:space="preserve"> </w:t>
      </w:r>
      <m:oMath>
        <m:r>
          <m:t>H</m:t>
        </m:r>
        <m:r>
          <m:rPr>
            <m:sty m:val="p"/>
          </m:rPr>
          <m:t>=</m:t>
        </m:r>
        <m:r>
          <m:t>20</m:t>
        </m:r>
      </m:oMath>
      <w:r>
        <w:t xml:space="preserve"> </w:t>
      </w:r>
      <w:r>
        <w:t xml:space="preserve">is approximately</w:t>
      </w:r>
      <w:r>
        <w:t xml:space="preserve"> </w:t>
      </w:r>
      <m:oMath>
        <m:d>
          <m:dPr>
            <m:begChr m:val="("/>
            <m:endChr m:val=")"/>
            <m:sepChr m:val=""/>
            <m:grow/>
          </m:dPr>
          <m:e>
            <m:r>
              <m:t>μ</m:t>
            </m:r>
            <m:r>
              <m:rPr>
                <m:sty m:val="p"/>
              </m:rPr>
              <m:t>,</m:t>
            </m:r>
            <m:r>
              <m:t>R</m:t>
            </m:r>
          </m:e>
        </m:d>
        <m:r>
          <m:rPr>
            <m:sty m:val="p"/>
          </m:rPr>
          <m:t>=</m:t>
        </m:r>
        <m:d>
          <m:dPr>
            <m:begChr m:val="("/>
            <m:endChr m:val=")"/>
            <m:sepChr m:val=""/>
            <m:grow/>
          </m:dPr>
          <m:e>
            <m:r>
              <m:t>2.50</m:t>
            </m:r>
            <m:r>
              <m:rPr>
                <m:sty m:val="p"/>
              </m:rPr>
              <m:t>,</m:t>
            </m:r>
            <m:r>
              <m:t>0.96</m:t>
            </m:r>
          </m:e>
        </m:d>
      </m:oMath>
      <w:r>
        <w:t xml:space="preserve"> </w:t>
      </w:r>
      <w:r>
        <w:t xml:space="preserve">versus</w:t>
      </w:r>
      <w:r>
        <w:t xml:space="preserve"> </w:t>
      </w:r>
      <m:oMath>
        <m:d>
          <m:dPr>
            <m:begChr m:val="("/>
            <m:endChr m:val=")"/>
            <m:sepChr m:val=""/>
            <m:grow/>
          </m:dPr>
          <m:e>
            <m:r>
              <m:t>1.38</m:t>
            </m:r>
            <m:r>
              <m:rPr>
                <m:sty m:val="p"/>
              </m:rPr>
              <m:t>,</m:t>
            </m:r>
            <m:r>
              <m:t>0.08</m:t>
            </m:r>
          </m:e>
        </m:d>
      </m:oMath>
      <w:r>
        <w:t xml:space="preserve">. Prices in that illustration are 26.4 and 17.3. Mean customer value is 18.2 on the frontier platform and 22.8 on the stable platform.</w:t>
      </w:r>
    </w:p>
    <w:p>
      <w:pPr>
        <w:pStyle w:val="BodyText"/>
      </w:pPr>
      <w:r>
        <w:rPr>
          <w:iCs/>
          <w:i/>
        </w:rPr>
        <w:t xml:space="preserve">[Figure 4 here: probability of choosing the frontier owner in the</w:t>
      </w:r>
      <w:r>
        <w:rPr>
          <w:iCs/>
          <w:i/>
        </w:rPr>
        <w:t xml:space="preserve"> </w:t>
      </w:r>
      <m:oMath>
        <m:r>
          <m:t>H</m:t>
        </m:r>
        <m:r>
          <m:rPr>
            <m:sty m:val="p"/>
          </m:rPr>
          <m:t>=</m:t>
        </m:r>
        <m:r>
          <m:t>20</m:t>
        </m:r>
      </m:oMath>
      <w:r>
        <w:rPr>
          <w:iCs/>
          <w:i/>
        </w:rPr>
        <w:t xml:space="preserve"> </w:t>
      </w:r>
      <w:r>
        <w:rPr>
          <w:iCs/>
          <w:i/>
        </w:rPr>
        <w:t xml:space="preserve">asymmetric illustration. Reuse the figure from the original submission.]</w:t>
      </w:r>
    </w:p>
    <w:bookmarkEnd w:id="29"/>
    <w:bookmarkStart w:id="35" w:name="robustness-and-extensions"/>
    <w:p>
      <w:pPr>
        <w:pStyle w:val="Heading2"/>
      </w:pPr>
      <w:r>
        <w:t xml:space="preserve">7. Robustness and Extensions</w:t>
      </w:r>
    </w:p>
    <w:bookmarkStart w:id="30" w:name="regular-arrivals"/>
    <w:p>
      <w:pPr>
        <w:pStyle w:val="Heading3"/>
      </w:pPr>
      <w:r>
        <w:t xml:space="preserve">7.1 Regular arrivals</w:t>
      </w:r>
    </w:p>
    <w:p>
      <w:pPr>
        <w:pStyle w:val="FirstParagraph"/>
      </w:pPr>
      <w:r>
        <w:t xml:space="preserve">Replace the exponential epoch length by a gamma law matched to each family’s mean gap and CV, or by a deterministic gap. The loss multiplier</w:t>
      </w:r>
      <w:r>
        <w:t xml:space="preserve"> </w:t>
      </w:r>
      <m:oMath>
        <m:r>
          <m:t>E</m:t>
        </m:r>
        <m:r>
          <m:t>​</m:t>
        </m:r>
        <m:d>
          <m:dPr>
            <m:begChr m:val="["/>
            <m:endChr m:val="]"/>
            <m:sepChr m:val=""/>
            <m:grow/>
          </m:dPr>
          <m:e>
            <m:nary>
              <m:naryPr>
                <m:chr m:val="∫"/>
                <m:limLoc m:val="subSup"/>
                <m:subHide m:val="off"/>
                <m:supHide m:val="off"/>
              </m:naryPr>
              <m:sub>
                <m:r>
                  <m:t>0</m:t>
                </m:r>
              </m:sub>
              <m:sup>
                <m:r>
                  <m:t>τ</m:t>
                </m:r>
              </m:sup>
              <m:e>
                <m:sSup>
                  <m:e>
                    <m:r>
                      <m:t>e</m:t>
                    </m:r>
                  </m:e>
                  <m:sup>
                    <m:r>
                      <m:rPr>
                        <m:sty m:val="p"/>
                      </m:rPr>
                      <m:t>−</m:t>
                    </m:r>
                    <m:d>
                      <m:dPr>
                        <m:begChr m:val="("/>
                        <m:endChr m:val=")"/>
                        <m:sepChr m:val=""/>
                        <m:grow/>
                      </m:dPr>
                      <m:e>
                        <m:r>
                          <m:t>ρ</m:t>
                        </m:r>
                        <m:r>
                          <m:rPr>
                            <m:sty m:val="p"/>
                          </m:rPr>
                          <m:t>−</m:t>
                        </m:r>
                        <m:r>
                          <m:t>g</m:t>
                        </m:r>
                      </m:e>
                    </m:d>
                    <m:r>
                      <m:t>t</m:t>
                    </m:r>
                  </m:sup>
                </m:sSup>
              </m:e>
            </m:nary>
            <m:r>
              <m:t>d</m:t>
            </m:r>
            <m:r>
              <m:t>t</m:t>
            </m:r>
          </m:e>
        </m:d>
      </m:oMath>
      <w:r>
        <w:t xml:space="preserve"> </w:t>
      </w:r>
      <w:r>
        <w:t xml:space="preserve">is 1 to 4 percent smaller than under Poisson (gamma-to-Poisson ratios 0.96 to 0.99). Average burden barely moves. What regularity changes is timing: with a predictable release the retraining threshold should rise as the date approaches (Rajagopalan 1999). The time-homogeneous</w:t>
      </w:r>
      <w:r>
        <w:t xml:space="preserve"> </w:t>
      </w:r>
      <m:oMath>
        <m:sSup>
          <m:e>
            <m:r>
              <m:t>v</m:t>
            </m:r>
          </m:e>
          <m:sup>
            <m:r>
              <m:rPr>
                <m:sty m:val="p"/>
              </m:rPr>
              <m:t>*</m:t>
            </m:r>
          </m:sup>
        </m:sSup>
      </m:oMath>
      <w:r>
        <w:t xml:space="preserve"> </w:t>
      </w:r>
      <w:r>
        <w:t xml:space="preserve">should be read as an average over the epoch.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right"/>
            </w:pPr>
            <w:r>
              <w:t xml:space="preserve">CV</w:t>
            </w:r>
          </w:p>
        </w:tc>
        <w:tc>
          <w:tcPr/>
          <w:p>
            <w:pPr>
              <w:pStyle w:val="Compact"/>
              <w:jc w:val="right"/>
            </w:pPr>
            <w:r>
              <w:t xml:space="preserve">Gamma / Poisson</w:t>
            </w:r>
          </w:p>
        </w:tc>
        <w:tc>
          <w:tcPr/>
          <w:p>
            <w:pPr>
              <w:pStyle w:val="Compact"/>
              <w:jc w:val="right"/>
            </w:pPr>
            <w:r>
              <w:t xml:space="preserve">Deterministic / Poisson</w:t>
            </w:r>
          </w:p>
        </w:tc>
      </w:tr>
      <w:tr>
        <w:tc>
          <w:tcPr/>
          <w:p>
            <w:pPr>
              <w:pStyle w:val="Compact"/>
              <w:jc w:val="left"/>
            </w:pPr>
            <w:r>
              <w:t xml:space="preserve">Gemma</w:t>
            </w:r>
          </w:p>
        </w:tc>
        <w:tc>
          <w:tcPr/>
          <w:p>
            <w:pPr>
              <w:pStyle w:val="Compact"/>
              <w:jc w:val="right"/>
            </w:pPr>
            <w:r>
              <w:t xml:space="preserve">0.50</w:t>
            </w:r>
          </w:p>
        </w:tc>
        <w:tc>
          <w:tcPr/>
          <w:p>
            <w:pPr>
              <w:pStyle w:val="Compact"/>
              <w:jc w:val="right"/>
            </w:pPr>
            <w:r>
              <w:t xml:space="preserve">0.965</w:t>
            </w:r>
          </w:p>
        </w:tc>
        <w:tc>
          <w:tcPr/>
          <w:p>
            <w:pPr>
              <w:pStyle w:val="Compact"/>
              <w:jc w:val="right"/>
            </w:pPr>
            <w:r>
              <w:t xml:space="preserve">0.954</w:t>
            </w:r>
          </w:p>
        </w:tc>
      </w:tr>
      <w:tr>
        <w:tc>
          <w:tcPr/>
          <w:p>
            <w:pPr>
              <w:pStyle w:val="Compact"/>
              <w:jc w:val="left"/>
            </w:pPr>
            <w:r>
              <w:t xml:space="preserve">Phi</w:t>
            </w:r>
          </w:p>
        </w:tc>
        <w:tc>
          <w:tcPr/>
          <w:p>
            <w:pPr>
              <w:pStyle w:val="Compact"/>
              <w:jc w:val="right"/>
            </w:pPr>
            <w:r>
              <w:t xml:space="preserve">0.18</w:t>
            </w:r>
          </w:p>
        </w:tc>
        <w:tc>
          <w:tcPr/>
          <w:p>
            <w:pPr>
              <w:pStyle w:val="Compact"/>
              <w:jc w:val="right"/>
            </w:pPr>
            <w:r>
              <w:t xml:space="preserve">0.961</w:t>
            </w:r>
          </w:p>
        </w:tc>
        <w:tc>
          <w:tcPr/>
          <w:p>
            <w:pPr>
              <w:pStyle w:val="Compact"/>
              <w:jc w:val="right"/>
            </w:pPr>
            <w:r>
              <w:t xml:space="preserve">0.960</w:t>
            </w:r>
          </w:p>
        </w:tc>
      </w:tr>
      <w:tr>
        <w:tc>
          <w:tcPr/>
          <w:p>
            <w:pPr>
              <w:pStyle w:val="Compact"/>
              <w:jc w:val="left"/>
            </w:pPr>
            <w:r>
              <w:t xml:space="preserve">Llama</w:t>
            </w:r>
          </w:p>
        </w:tc>
        <w:tc>
          <w:tcPr/>
          <w:p>
            <w:pPr>
              <w:pStyle w:val="Compact"/>
              <w:jc w:val="right"/>
            </w:pPr>
            <w:r>
              <w:t xml:space="preserve">0.61</w:t>
            </w:r>
          </w:p>
        </w:tc>
        <w:tc>
          <w:tcPr/>
          <w:p>
            <w:pPr>
              <w:pStyle w:val="Compact"/>
              <w:jc w:val="right"/>
            </w:pPr>
            <w:r>
              <w:t xml:space="preserve">0.980</w:t>
            </w:r>
          </w:p>
        </w:tc>
        <w:tc>
          <w:tcPr/>
          <w:p>
            <w:pPr>
              <w:pStyle w:val="Compact"/>
              <w:jc w:val="right"/>
            </w:pPr>
            <w:r>
              <w:t xml:space="preserve">0.969</w:t>
            </w:r>
          </w:p>
        </w:tc>
      </w:tr>
      <w:tr>
        <w:tc>
          <w:tcPr/>
          <w:p>
            <w:pPr>
              <w:pStyle w:val="Compact"/>
              <w:jc w:val="left"/>
            </w:pPr>
            <w:r>
              <w:t xml:space="preserve">Qwen</w:t>
            </w:r>
          </w:p>
        </w:tc>
        <w:tc>
          <w:tcPr/>
          <w:p>
            <w:pPr>
              <w:pStyle w:val="Compact"/>
              <w:jc w:val="right"/>
            </w:pPr>
            <w:r>
              <w:t xml:space="preserve">0.44</w:t>
            </w:r>
          </w:p>
        </w:tc>
        <w:tc>
          <w:tcPr/>
          <w:p>
            <w:pPr>
              <w:pStyle w:val="Compact"/>
              <w:jc w:val="right"/>
            </w:pPr>
            <w:r>
              <w:t xml:space="preserve">0.984</w:t>
            </w:r>
          </w:p>
        </w:tc>
        <w:tc>
          <w:tcPr/>
          <w:p>
            <w:pPr>
              <w:pStyle w:val="Compact"/>
              <w:jc w:val="right"/>
            </w:pPr>
            <w:r>
              <w:t xml:space="preserve">0.980</w:t>
            </w:r>
          </w:p>
        </w:tc>
      </w:tr>
      <w:tr>
        <w:tc>
          <w:tcPr/>
          <w:p>
            <w:pPr>
              <w:pStyle w:val="Compact"/>
              <w:jc w:val="left"/>
            </w:pPr>
            <w:r>
              <w:t xml:space="preserve">Mistral</w:t>
            </w:r>
          </w:p>
        </w:tc>
        <w:tc>
          <w:tcPr/>
          <w:p>
            <w:pPr>
              <w:pStyle w:val="Compact"/>
              <w:jc w:val="right"/>
            </w:pPr>
            <w:r>
              <w:t xml:space="preserve">0.70</w:t>
            </w:r>
          </w:p>
        </w:tc>
        <w:tc>
          <w:tcPr/>
          <w:p>
            <w:pPr>
              <w:pStyle w:val="Compact"/>
              <w:jc w:val="right"/>
            </w:pPr>
            <w:r>
              <w:t xml:space="preserve">0.990</w:t>
            </w:r>
          </w:p>
        </w:tc>
        <w:tc>
          <w:tcPr/>
          <w:p>
            <w:pPr>
              <w:pStyle w:val="Compact"/>
              <w:jc w:val="right"/>
            </w:pPr>
            <w:r>
              <w:t xml:space="preserve">0.981</w:t>
            </w:r>
          </w:p>
        </w:tc>
      </w:tr>
      <w:tr>
        <w:tc>
          <w:tcPr/>
          <w:p>
            <w:pPr>
              <w:pStyle w:val="Compact"/>
              <w:jc w:val="left"/>
            </w:pPr>
            <w:r>
              <w:t xml:space="preserve">DeepSeek</w:t>
            </w:r>
          </w:p>
        </w:tc>
        <w:tc>
          <w:tcPr/>
          <w:p>
            <w:pPr>
              <w:pStyle w:val="Compact"/>
              <w:jc w:val="right"/>
            </w:pPr>
            <w:r>
              <w:t xml:space="preserve">0.31</w:t>
            </w:r>
          </w:p>
        </w:tc>
        <w:tc>
          <w:tcPr/>
          <w:p>
            <w:pPr>
              <w:pStyle w:val="Compact"/>
              <w:jc w:val="right"/>
            </w:pPr>
            <w:r>
              <w:t xml:space="preserve">0.981</w:t>
            </w:r>
          </w:p>
        </w:tc>
        <w:tc>
          <w:tcPr/>
          <w:p>
            <w:pPr>
              <w:pStyle w:val="Compact"/>
              <w:jc w:val="right"/>
            </w:pPr>
            <w:r>
              <w:t xml:space="preserve">0.979</w:t>
            </w:r>
          </w:p>
        </w:tc>
      </w:tr>
      <w:tr>
        <w:tc>
          <w:tcPr/>
          <w:p>
            <w:pPr>
              <w:pStyle w:val="Compact"/>
              <w:jc w:val="left"/>
            </w:pPr>
            <w:r>
              <w:t xml:space="preserve">Pooled</w:t>
            </w:r>
          </w:p>
        </w:tc>
        <w:tc>
          <w:tcPr/>
          <w:p>
            <w:pPr>
              <w:pStyle w:val="Compact"/>
              <w:jc w:val="right"/>
            </w:pPr>
            <w:r>
              <w:t xml:space="preserve">0.46</w:t>
            </w:r>
          </w:p>
        </w:tc>
        <w:tc>
          <w:tcPr/>
          <w:p>
            <w:pPr>
              <w:pStyle w:val="Compact"/>
              <w:jc w:val="right"/>
            </w:pPr>
            <w:r>
              <w:t xml:space="preserve">0.979</w:t>
            </w:r>
          </w:p>
        </w:tc>
        <w:tc>
          <w:tcPr/>
          <w:p>
            <w:pPr>
              <w:pStyle w:val="Compact"/>
              <w:jc w:val="right"/>
            </w:pPr>
            <w:r>
              <w:t xml:space="preserve">0.974</w:t>
            </w:r>
          </w:p>
        </w:tc>
      </w:tr>
    </w:tbl>
    <w:p>
      <w:pPr>
        <w:pStyle w:val="BodyText"/>
      </w:pPr>
      <w:r>
        <w:rPr>
          <w:iCs/>
          <w:i/>
        </w:rPr>
        <w:t xml:space="preserve">Table 6. Loss-multiplier ratio versus Poisson (</w:t>
      </w:r>
      <m:oMath>
        <m:r>
          <m:t>ρ</m:t>
        </m:r>
        <m:r>
          <m:rPr>
            <m:sty m:val="p"/>
          </m:rPr>
          <m:t>=</m:t>
        </m:r>
        <m:r>
          <m:t>0.10</m:t>
        </m:r>
      </m:oMath>
      <w:r>
        <w:rPr>
          <w:iCs/>
          <w:i/>
        </w:rPr>
        <w:t xml:space="preserve">,</w:t>
      </w:r>
      <w:r>
        <w:rPr>
          <w:iCs/>
          <w:i/>
        </w:rPr>
        <w:t xml:space="preserve"> </w:t>
      </w:r>
      <m:oMath>
        <m:r>
          <m:t>g</m:t>
        </m:r>
        <m:r>
          <m:rPr>
            <m:sty m:val="p"/>
          </m:rPr>
          <m:t>=</m:t>
        </m:r>
        <m:r>
          <m:t>0.20</m:t>
        </m:r>
      </m:oMath>
      <w:r>
        <w:rPr>
          <w:iCs/>
          <w:i/>
        </w:rPr>
        <w:t xml:space="preserve">).</w:t>
      </w:r>
    </w:p>
    <w:bookmarkEnd w:id="30"/>
    <w:bookmarkStart w:id="31" w:name="threshold-loss"/>
    <w:p>
      <w:pPr>
        <w:pStyle w:val="Heading3"/>
      </w:pPr>
      <w:r>
        <w:t xml:space="preserve">7.2 Threshold loss</w:t>
      </w:r>
    </w:p>
    <w:p>
      <w:pPr>
        <w:pStyle w:val="FirstParagraph"/>
      </w:pPr>
      <w:r>
        <w:t xml:space="preserve">If the adapter creates value only above a quality floor</w:t>
      </w:r>
      <w:r>
        <w:t xml:space="preserve"> </w:t>
      </w:r>
      <m:oMath>
        <m:sSub>
          <m:e>
            <m:r>
              <m:t>R</m:t>
            </m:r>
          </m:e>
          <m:sub>
            <m:r>
              <m:rPr>
                <m:sty m:val="p"/>
              </m:rPr>
              <m:t>min</m:t>
            </m:r>
          </m:sub>
        </m:sSub>
      </m:oMath>
      <w:r>
        <w:t xml:space="preserve">, effective recovery is 0 when</w:t>
      </w:r>
      <w:r>
        <w:t xml:space="preserve"> </w:t>
      </w:r>
      <m:oMath>
        <m:r>
          <m:t>R</m:t>
        </m:r>
        <m:r>
          <m:rPr>
            <m:sty m:val="p"/>
          </m:rPr>
          <m:t>&lt;</m:t>
        </m:r>
        <m:sSub>
          <m:e>
            <m:r>
              <m:t>R</m:t>
            </m:r>
          </m:e>
          <m:sub>
            <m:r>
              <m:rPr>
                <m:sty m:val="p"/>
              </m:rPr>
              <m:t>min</m:t>
            </m:r>
          </m:sub>
        </m:sSub>
      </m:oMath>
      <w:r>
        <w:t xml:space="preserve"> </w:t>
      </w:r>
      <w:r>
        <w:t xml:space="preserve">and</w:t>
      </w:r>
      <w:r>
        <w:t xml:space="preserve"> </w:t>
      </w:r>
      <m:oMath>
        <m:r>
          <m:t>R</m:t>
        </m:r>
      </m:oMath>
      <w:r>
        <w:t xml:space="preserve"> </w:t>
      </w:r>
      <w:r>
        <w:t xml:space="preserve">otherwise. Then</w:t>
      </w:r>
      <w:r>
        <w:t xml:space="preserve"> </w:t>
      </w:r>
      <m:oMath>
        <m:r>
          <m:t>k</m:t>
        </m:r>
      </m:oMath>
      <w:r>
        <w:t xml:space="preserve"> </w:t>
      </w:r>
      <w:r>
        <w:t xml:space="preserve">and</w:t>
      </w:r>
      <w:r>
        <w:t xml:space="preserve"> </w:t>
      </w:r>
      <m:oMath>
        <m:sSup>
          <m:e>
            <m:r>
              <m:t>v</m:t>
            </m:r>
          </m:e>
          <m:sup>
            <m:r>
              <m:rPr>
                <m:sty m:val="p"/>
              </m:rPr>
              <m:t>*</m:t>
            </m:r>
          </m:sup>
        </m:sSup>
      </m:oMath>
      <w:r>
        <w:t xml:space="preserve"> </w:t>
      </w:r>
      <w:r>
        <w:t xml:space="preserve">jump when a method crosses the floor. A large upgrade that drops copy below the floor and leaves a costly method above it widens</w:t>
      </w:r>
      <w:r>
        <w:t xml:space="preserve"> </w:t>
      </w:r>
      <m:oMath>
        <m:r>
          <m:t>Γ</m:t>
        </m:r>
      </m:oMath>
      <w:r>
        <w:t xml:space="preserve">. Linear loss understates the value of transfer exactly when the upgrade is large. It does not overturn weak dominance of copy when copy itself stays above the floor.</w:t>
      </w:r>
    </w:p>
    <w:bookmarkEnd w:id="31"/>
    <w:bookmarkStart w:id="32" w:name="a-two-period-switching-extension"/>
    <w:p>
      <w:pPr>
        <w:pStyle w:val="Heading3"/>
      </w:pPr>
      <w:r>
        <w:t xml:space="preserve">7.3 A two-period switching extension</w:t>
      </w:r>
    </w:p>
    <w:p>
      <w:pPr>
        <w:pStyle w:val="FirstParagraph"/>
      </w:pPr>
      <w:r>
        <w:t xml:space="preserve">Section 6 assumes a firm stays with its first owner. Consider a two-period variant. In period 0 owners choose</w:t>
      </w:r>
      <w:r>
        <w:t xml:space="preserve"> </w:t>
      </w:r>
      <m:oMath>
        <m:d>
          <m:dPr>
            <m:begChr m:val="("/>
            <m:endChr m:val=")"/>
            <m:sepChr m:val=""/>
            <m:grow/>
          </m:dPr>
          <m:e>
            <m:sSub>
              <m:e>
                <m:r>
                  <m:t>μ</m:t>
                </m:r>
              </m:e>
              <m:sub>
                <m:r>
                  <m:t>i</m:t>
                </m:r>
              </m:sub>
            </m:sSub>
            <m:r>
              <m:rPr>
                <m:sty m:val="p"/>
              </m:rPr>
              <m:t>,</m:t>
            </m:r>
            <m:sSub>
              <m:e>
                <m:r>
                  <m:t>R</m:t>
                </m:r>
              </m:e>
              <m:sub>
                <m:r>
                  <m:t>i</m:t>
                </m:r>
              </m:sub>
            </m:sSub>
          </m:e>
        </m:d>
      </m:oMath>
      <w:r>
        <w:t xml:space="preserve"> </w:t>
      </w:r>
      <w:r>
        <w:t xml:space="preserve">and prices. Firms choose an owner. After the first upgrade, a firm may switch at a cost</w:t>
      </w:r>
      <w:r>
        <w:t xml:space="preserve"> </w:t>
      </w:r>
      <m:oMath>
        <m:r>
          <m:t>ω</m:t>
        </m:r>
        <m:d>
          <m:dPr>
            <m:begChr m:val="("/>
            <m:endChr m:val=")"/>
            <m:sepChr m:val=""/>
            <m:grow/>
          </m:dPr>
          <m:e>
            <m:sSub>
              <m:e>
                <m:r>
                  <m:t>R</m:t>
                </m:r>
              </m:e>
              <m:sub>
                <m:r>
                  <m:rPr>
                    <m:nor/>
                    <m:sty m:val="p"/>
                  </m:rPr>
                  <m:t>from</m:t>
                </m:r>
              </m:sub>
            </m:sSub>
            <m:r>
              <m:rPr>
                <m:sty m:val="p"/>
              </m:rPr>
              <m:t>,</m:t>
            </m:r>
            <m:sSub>
              <m:e>
                <m:r>
                  <m:t>R</m:t>
                </m:r>
              </m:e>
              <m:sub>
                <m:r>
                  <m:rPr>
                    <m:nor/>
                    <m:sty m:val="p"/>
                  </m:rPr>
                  <m:t>to</m:t>
                </m:r>
              </m:sub>
            </m:sSub>
          </m:e>
        </m:d>
      </m:oMath>
      <w:r>
        <w:t xml:space="preserve">. Interpret</w:t>
      </w:r>
      <w:r>
        <w:t xml:space="preserve"> </w:t>
      </w:r>
      <m:oMath>
        <m:r>
          <m:t>ω</m:t>
        </m:r>
      </m:oMath>
      <w:r>
        <w:t xml:space="preserve"> </w:t>
      </w:r>
      <w:r>
        <w:t xml:space="preserve">as the labor of rebuilding the complementary asset on the rival stack. A transfer technology that is stack-agnostic lowers</w:t>
      </w:r>
      <w:r>
        <w:t xml:space="preserve"> </w:t>
      </w:r>
      <m:oMath>
        <m:r>
          <m:t>ω</m:t>
        </m:r>
      </m:oMath>
      <w:r>
        <w:t xml:space="preserve">.</w:t>
      </w:r>
    </w:p>
    <w:p>
      <w:pPr>
        <w:pStyle w:val="BodyText"/>
      </w:pPr>
      <w:r>
        <w:t xml:space="preserve">Write</w:t>
      </w:r>
      <w:r>
        <w:t xml:space="preserve"> </w:t>
      </w:r>
      <m:oMath>
        <m:sSub>
          <m:e>
            <m:r>
              <m:t>V</m:t>
            </m:r>
          </m:e>
          <m:sub>
            <m:r>
              <m:t>i</m:t>
            </m:r>
          </m:sub>
        </m:sSub>
        <m:d>
          <m:dPr>
            <m:begChr m:val="("/>
            <m:endChr m:val=")"/>
            <m:sepChr m:val=""/>
            <m:grow/>
          </m:dPr>
          <m:e>
            <m:r>
              <m:t>v</m:t>
            </m:r>
          </m:e>
        </m:d>
      </m:oMath>
      <w:r>
        <w:t xml:space="preserve"> </w:t>
      </w:r>
      <w:r>
        <w:t xml:space="preserve">for the period-1 continuation, including the option to switch. The period-0 choice probability remains logit in</w:t>
      </w:r>
      <w:r>
        <w:t xml:space="preserve"> </w:t>
      </w:r>
      <m:oMath>
        <m:r>
          <m:t>s</m:t>
        </m:r>
        <m:d>
          <m:dPr>
            <m:begChr m:val="("/>
            <m:endChr m:val=")"/>
            <m:sepChr m:val=""/>
            <m:grow/>
          </m:dPr>
          <m:e>
            <m:sSub>
              <m:e>
                <m:r>
                  <m:t>μ</m:t>
                </m:r>
              </m:e>
              <m:sub>
                <m:r>
                  <m:t>i</m:t>
                </m:r>
              </m:sub>
            </m:sSub>
            <m:r>
              <m:rPr>
                <m:sty m:val="p"/>
              </m:rPr>
              <m:t>,</m:t>
            </m:r>
            <m:r>
              <m:t>v</m:t>
            </m:r>
            <m:r>
              <m:rPr>
                <m:sty m:val="p"/>
              </m:rPr>
              <m:t>;</m:t>
            </m:r>
            <m:sSub>
              <m:e>
                <m:r>
                  <m:t>R</m:t>
                </m:r>
              </m:e>
              <m:sub>
                <m:r>
                  <m:t>i</m:t>
                </m:r>
              </m:sub>
            </m:sSub>
          </m:e>
        </m:d>
        <m:r>
          <m:rPr>
            <m:sty m:val="p"/>
          </m:rPr>
          <m:t>−</m:t>
        </m:r>
        <m:sSub>
          <m:e>
            <m:r>
              <m:t>p</m:t>
            </m:r>
          </m:e>
          <m:sub>
            <m:r>
              <m:t>i</m:t>
            </m:r>
          </m:sub>
        </m:sSub>
        <m:r>
          <m:rPr>
            <m:sty m:val="p"/>
          </m:rPr>
          <m:t>+</m:t>
        </m:r>
        <m:r>
          <m:rPr>
            <m:sty m:val="p"/>
            <m:scr m:val="double-struck"/>
          </m:rPr>
          <m:t>E</m:t>
        </m:r>
        <m:d>
          <m:dPr>
            <m:begChr m:val="["/>
            <m:endChr m:val="]"/>
            <m:sepChr m:val=""/>
            <m:grow/>
          </m:dPr>
          <m:e>
            <m:sSub>
              <m:e>
                <m:r>
                  <m:t>V</m:t>
                </m:r>
              </m:e>
              <m:sub>
                <m:r>
                  <m:t>i</m:t>
                </m:r>
              </m:sub>
            </m:sSub>
            <m:d>
              <m:dPr>
                <m:begChr m:val="("/>
                <m:endChr m:val=")"/>
                <m:sepChr m:val=""/>
                <m:grow/>
              </m:dPr>
              <m:e>
                <m:r>
                  <m:t>v</m:t>
                </m:r>
              </m:e>
            </m:d>
          </m:e>
        </m:d>
      </m:oMath>
      <w:r>
        <w:t xml:space="preserve">. Two first-order effects follow without solving the full game.</w:t>
      </w:r>
    </w:p>
    <w:p>
      <w:pPr>
        <w:pStyle w:val="BodyText"/>
      </w:pPr>
      <w:r>
        <w:rPr>
          <w:iCs/>
          <w:i/>
        </w:rPr>
        <w:t xml:space="preserve">Portability intensifies price competition.</w:t>
      </w:r>
      <w:r>
        <w:t xml:space="preserve"> </w:t>
      </w:r>
      <w:r>
        <w:t xml:space="preserve">A lower</w:t>
      </w:r>
      <w:r>
        <w:t xml:space="preserve"> </w:t>
      </w:r>
      <m:oMath>
        <m:r>
          <m:t>ω</m:t>
        </m:r>
      </m:oMath>
      <w:r>
        <w:t xml:space="preserve"> </w:t>
      </w:r>
      <w:r>
        <w:t xml:space="preserve">raises the elasticity of period-0 demand to period-1 quality and price, because the period-1 outside option is closer. In logit, that is a fall in the effective</w:t>
      </w:r>
      <w:r>
        <w:t xml:space="preserve"> </w:t>
      </w:r>
      <m:oMath>
        <m:r>
          <m:t>η</m:t>
        </m:r>
      </m:oMath>
      <w:r>
        <w:t xml:space="preserve"> </w:t>
      </w:r>
      <w:r>
        <w:t xml:space="preserve">on the continuation component. Symmetric prices fall below</w:t>
      </w:r>
      <w:r>
        <w:t xml:space="preserve"> </w:t>
      </w:r>
      <m:oMath>
        <m:r>
          <m:t>2</m:t>
        </m:r>
        <m:r>
          <m:t>η</m:t>
        </m:r>
      </m:oMath>
      <w:r>
        <w:t xml:space="preserve"> </w:t>
      </w:r>
      <w:r>
        <w:t xml:space="preserve">once continuation is included. Customers capture more of any quality gain.</w:t>
      </w:r>
    </w:p>
    <w:p>
      <w:pPr>
        <w:pStyle w:val="BodyText"/>
      </w:pPr>
      <w:r>
        <w:rPr>
          <w:iCs/>
          <w:i/>
        </w:rPr>
        <w:t xml:space="preserve">Portability reduces the return to compatibility investment.</w:t>
      </w:r>
      <w:r>
        <w:t xml:space="preserve"> </w:t>
      </w:r>
      <w:r>
        <w:t xml:space="preserve">The demand derivative</w:t>
      </w:r>
      <w:r>
        <w:t xml:space="preserve"> </w:t>
      </w:r>
      <m:oMath>
        <m:r>
          <m:rPr>
            <m:sty m:val="p"/>
          </m:rPr>
          <m:t>∂</m:t>
        </m:r>
        <m:sSub>
          <m:e>
            <m:r>
              <m:t>D</m:t>
            </m:r>
          </m:e>
          <m:sub>
            <m:r>
              <m:t>i</m:t>
            </m:r>
          </m:sub>
        </m:sSub>
        <m:r>
          <m:rPr>
            <m:sty m:val="p"/>
          </m:rPr>
          <m:t>/</m:t>
        </m:r>
        <m:r>
          <m:rPr>
            <m:sty m:val="p"/>
          </m:rPr>
          <m:t>∂</m:t>
        </m:r>
        <m:sSub>
          <m:e>
            <m:r>
              <m:t>R</m:t>
            </m:r>
          </m:e>
          <m:sub>
            <m:r>
              <m:t>i</m:t>
            </m:r>
          </m:sub>
        </m:sSub>
      </m:oMath>
      <w:r>
        <w:t xml:space="preserve"> </w:t>
      </w:r>
      <w:r>
        <w:t xml:space="preserve">splits into an own-customer maintenance effect (the Section 5 channel) and a switching-in effect. The second effect is business-stealing. In a symmetric equilibrium business-stealing is a transfer and does not enter welfare, but it does enter the owner’s private return to</w:t>
      </w:r>
      <w:r>
        <w:t xml:space="preserve"> </w:t>
      </w:r>
      <m:oMath>
        <m:r>
          <m:t>R</m:t>
        </m:r>
      </m:oMath>
      <w:r>
        <w:t xml:space="preserve">. As</w:t>
      </w:r>
      <w:r>
        <w:t xml:space="preserve"> </w:t>
      </w:r>
      <m:oMath>
        <m:r>
          <m:t>ω</m:t>
        </m:r>
        <m:r>
          <m:rPr>
            <m:sty m:val="p"/>
          </m:rPr>
          <m:t>→</m:t>
        </m:r>
        <m:r>
          <m:t>0</m:t>
        </m:r>
      </m:oMath>
      <w:r>
        <w:t xml:space="preserve">, differentiation in</w:t>
      </w:r>
      <w:r>
        <w:t xml:space="preserve"> </w:t>
      </w:r>
      <m:oMath>
        <m:r>
          <m:t>R</m:t>
        </m:r>
      </m:oMath>
      <w:r>
        <w:t xml:space="preserve"> </w:t>
      </w:r>
      <w:r>
        <w:t xml:space="preserve">cannot support a price gap, so</w:t>
      </w:r>
      <w:r>
        <w:t xml:space="preserve"> </w:t>
      </w:r>
      <m:oMath>
        <m:r>
          <m:t>Z</m:t>
        </m:r>
        <m:r>
          <m:rPr>
            <m:sty m:val="p"/>
          </m:rPr>
          <m:t>′</m:t>
        </m:r>
        <m:d>
          <m:dPr>
            <m:begChr m:val="("/>
            <m:endChr m:val=")"/>
            <m:sepChr m:val=""/>
            <m:grow/>
          </m:dPr>
          <m:e>
            <m:r>
              <m:t>R</m:t>
            </m:r>
          </m:e>
        </m:d>
      </m:oMath>
      <w:r>
        <w:t xml:space="preserve"> </w:t>
      </w:r>
      <w:r>
        <w:t xml:space="preserve">is harder to recoup. Compatibility investment therefore falls even as the social return to</w:t>
      </w:r>
      <w:r>
        <w:t xml:space="preserve"> </w:t>
      </w:r>
      <m:oMath>
        <m:r>
          <m:t>R</m:t>
        </m:r>
      </m:oMath>
      <w:r>
        <w:t xml:space="preserve">, a lower maintenance burden, remains.</w:t>
      </w:r>
    </w:p>
    <w:p>
      <w:pPr>
        <w:pStyle w:val="BodyText"/>
      </w:pPr>
      <w:r>
        <w:t xml:space="preserve">The one-third weight is consequently an upper bound on under-internalization only inside the no-switching game. Treating transfer purely as a maintenance tool and ignoring portability will overstate the case for owner-provided compatibility as a customer-friendly investment. We do not claim a closed-form analogue of Proposition 9 under switching.</w:t>
      </w:r>
    </w:p>
    <w:bookmarkEnd w:id="32"/>
    <w:bookmarkStart w:id="33" w:name="X640f57d94b6a2cde7f813414b5e5fdad61959eb"/>
    <w:p>
      <w:pPr>
        <w:pStyle w:val="Heading3"/>
      </w:pPr>
      <w:r>
        <w:t xml:space="preserve">7.4 Owner’s first-order condition with the dynamic threshold</w:t>
      </w:r>
    </w:p>
    <w:p>
      <w:pPr>
        <w:pStyle w:val="FirstParagraph"/>
      </w:pPr>
      <w:r>
        <w:t xml:space="preserve">Replace</w:t>
      </w:r>
      <w:r>
        <w:t xml:space="preserve"> </w:t>
      </w:r>
      <m:oMath>
        <m:acc>
          <m:accPr>
            <m:chr m:val="̂"/>
          </m:accPr>
          <m:e>
            <m:r>
              <m:t>v</m:t>
            </m:r>
          </m:e>
        </m:acc>
      </m:oMath>
      <w:r>
        <w:t xml:space="preserve"> </w:t>
      </w:r>
      <w:r>
        <w:t xml:space="preserve">by</w:t>
      </w:r>
      <w:r>
        <w:t xml:space="preserve"> </w:t>
      </w:r>
      <m:oMath>
        <m:sSup>
          <m:e>
            <m:r>
              <m:t>v</m:t>
            </m:r>
          </m:e>
          <m:sup>
            <m:r>
              <m:rPr>
                <m:sty m:val="p"/>
              </m:rPr>
              <m:t>*</m:t>
            </m:r>
          </m:sup>
        </m:sSup>
        <m:d>
          <m:dPr>
            <m:begChr m:val="("/>
            <m:endChr m:val=")"/>
            <m:sepChr m:val=""/>
            <m:grow/>
          </m:dPr>
          <m:e>
            <m:r>
              <m:t>R</m:t>
            </m:r>
            <m:r>
              <m:rPr>
                <m:sty m:val="p"/>
              </m:rPr>
              <m:t>;</m:t>
            </m:r>
            <m:r>
              <m:t>μ</m:t>
            </m:r>
          </m:e>
        </m:d>
      </m:oMath>
      <w:r>
        <w:t xml:space="preserve"> </w:t>
      </w:r>
      <w:r>
        <w:t xml:space="preserve">inside the static present-value arithmetic and re-optimize</w:t>
      </w:r>
      <w:r>
        <w:t xml:space="preserve"> </w:t>
      </w:r>
      <m:oMath>
        <m:r>
          <m:t>ψ</m:t>
        </m:r>
        <m:r>
          <m:t>μ</m:t>
        </m:r>
        <m:r>
          <m:rPr>
            <m:sty m:val="p"/>
          </m:rPr>
          <m:t>−</m:t>
        </m:r>
        <m:f>
          <m:fPr>
            <m:type m:val="lin"/>
          </m:fPr>
          <m:num>
            <m:r>
              <m:t>1</m:t>
            </m:r>
          </m:num>
          <m:den>
            <m:r>
              <m:t>2</m:t>
            </m:r>
          </m:den>
        </m:f>
        <m:r>
          <m:t>c</m:t>
        </m:r>
        <m:sSup>
          <m:e>
            <m:r>
              <m:t>μ</m:t>
            </m:r>
          </m:e>
          <m:sup>
            <m:r>
              <m:t>2</m:t>
            </m:r>
          </m:sup>
        </m:sSup>
        <m:r>
          <m:rPr>
            <m:sty m:val="p"/>
          </m:rPr>
          <m:t>+</m:t>
        </m:r>
        <m:r>
          <m:t>θ</m:t>
        </m:r>
        <m:r>
          <m:t>n</m:t>
        </m:r>
        <m:d>
          <m:dPr>
            <m:begChr m:val="("/>
            <m:endChr m:val=")"/>
            <m:sepChr m:val=""/>
            <m:grow/>
          </m:dPr>
          <m:e>
            <m:r>
              <m:t>b</m:t>
            </m:r>
            <m:r>
              <m:t>μ</m:t>
            </m:r>
            <m:r>
              <m:rPr>
                <m:sty m:val="p"/>
              </m:rPr>
              <m:t>−</m:t>
            </m:r>
            <m:r>
              <m:t>E</m:t>
            </m:r>
            <m:d>
              <m:dPr>
                <m:begChr m:val="["/>
                <m:endChr m:val="]"/>
                <m:sepChr m:val=""/>
                <m:grow/>
              </m:dPr>
              <m:e>
                <m:r>
                  <m:t>m</m:t>
                </m:r>
              </m:e>
            </m:d>
          </m:e>
        </m:d>
      </m:oMath>
      <w:r>
        <w:t xml:space="preserve">. This is still a proxy, because the firm’s option value is not the full infinite-horizon object, but it lets the owner respond to a</w:t>
      </w:r>
      <w:r>
        <w:t xml:space="preserve"> </w:t>
      </w:r>
      <m:oMath>
        <m:r>
          <m:t>μ</m:t>
        </m:r>
      </m:oMath>
      <w:r>
        <w:t xml:space="preserve">-dependent threshold.</w:t>
      </w:r>
    </w:p>
    <w:tbl>
      <w:tblPr>
        <w:tblStyle w:val="Table"/>
        <w:tblW w:type="pct" w:w="5000"/>
        <w:tblLook w:firstRow="1" w:lastRow="0" w:firstColumn="0" w:lastColumn="0" w:noHBand="0" w:noVBand="0" w:val="0020"/>
        <w:jc w:val="start"/>
      </w:tblPr>
      <w:tblGrid>
        <w:gridCol w:w="1885"/>
        <w:gridCol w:w="1508"/>
        <w:gridCol w:w="1508"/>
        <w:gridCol w:w="1508"/>
        <w:gridCol w:w="1508"/>
      </w:tblGrid>
      <w:tr>
        <w:trPr>
          <w:tblHeader w:val="true"/>
        </w:trPr>
        <w:tc>
          <w:tcPr/>
          <w:p>
            <w:pPr>
              <w:pStyle w:val="Compact"/>
              <w:jc w:val="center"/>
            </w:pPr>
            <m:oMath>
              <m:r>
                <m:t>R</m:t>
              </m:r>
            </m:oMath>
          </w:p>
        </w:tc>
        <w:tc>
          <w:tcPr/>
          <w:p>
            <w:pPr>
              <w:pStyle w:val="Compact"/>
              <w:jc w:val="right"/>
            </w:pPr>
            <m:oMath>
              <m:sSub>
                <m:e>
                  <m:r>
                    <m:t>μ</m:t>
                  </m:r>
                </m:e>
                <m:sub>
                  <m:r>
                    <m:t>V</m:t>
                  </m:r>
                </m:sub>
              </m:sSub>
            </m:oMath>
            <w:r>
              <w:t xml:space="preserve"> </w:t>
            </w:r>
            <w:r>
              <w:t xml:space="preserve">static</w:t>
            </w:r>
          </w:p>
        </w:tc>
        <w:tc>
          <w:tcPr/>
          <w:p>
            <w:pPr>
              <w:pStyle w:val="Compact"/>
              <w:jc w:val="right"/>
            </w:pPr>
            <m:oMath>
              <m:sSub>
                <m:e>
                  <m:r>
                    <m:t>μ</m:t>
                  </m:r>
                </m:e>
                <m:sub>
                  <m:r>
                    <m:t>V</m:t>
                  </m:r>
                </m:sub>
              </m:sSub>
            </m:oMath>
            <w:r>
              <w:t xml:space="preserve"> </w:t>
            </w:r>
            <w:r>
              <w:t xml:space="preserve">dynamic proxy</w:t>
            </w:r>
          </w:p>
        </w:tc>
        <w:tc>
          <w:tcPr/>
          <w:p>
            <w:pPr>
              <w:pStyle w:val="Compact"/>
              <w:jc w:val="right"/>
            </w:pPr>
            <m:oMath>
              <m:sSub>
                <m:e>
                  <m:r>
                    <m:t>μ</m:t>
                  </m:r>
                </m:e>
                <m:sub>
                  <m:r>
                    <m:t>P</m:t>
                  </m:r>
                </m:sub>
              </m:sSub>
            </m:oMath>
            <w:r>
              <w:t xml:space="preserve"> </w:t>
            </w:r>
            <w:r>
              <w:t xml:space="preserve">static</w:t>
            </w:r>
          </w:p>
        </w:tc>
        <w:tc>
          <w:tcPr/>
          <w:p>
            <w:pPr>
              <w:pStyle w:val="Compact"/>
              <w:jc w:val="right"/>
            </w:pPr>
            <m:oMath>
              <m:sSub>
                <m:e>
                  <m:r>
                    <m:t>μ</m:t>
                  </m:r>
                </m:e>
                <m:sub>
                  <m:r>
                    <m:t>P</m:t>
                  </m:r>
                </m:sub>
              </m:sSub>
            </m:oMath>
            <w:r>
              <w:t xml:space="preserve"> </w:t>
            </w:r>
            <w:r>
              <w:t xml:space="preserve">dynamic proxy</w:t>
            </w:r>
          </w:p>
        </w:tc>
      </w:tr>
      <w:tr>
        <w:tc>
          <w:tcPr/>
          <w:p>
            <w:pPr>
              <w:pStyle w:val="Compact"/>
              <w:jc w:val="center"/>
            </w:pPr>
            <w:r>
              <w:t xml:space="preserve">0.3</w:t>
            </w:r>
          </w:p>
        </w:tc>
        <w:tc>
          <w:tcPr/>
          <w:p>
            <w:pPr>
              <w:pStyle w:val="Compact"/>
              <w:jc w:val="right"/>
            </w:pPr>
            <w:r>
              <w:t xml:space="preserve">2.475</w:t>
            </w:r>
          </w:p>
        </w:tc>
        <w:tc>
          <w:tcPr/>
          <w:p>
            <w:pPr>
              <w:pStyle w:val="Compact"/>
              <w:jc w:val="right"/>
            </w:pPr>
            <w:r>
              <w:t xml:space="preserve">2.472</w:t>
            </w:r>
          </w:p>
        </w:tc>
        <w:tc>
          <w:tcPr/>
          <w:p>
            <w:pPr>
              <w:pStyle w:val="Compact"/>
              <w:jc w:val="right"/>
            </w:pPr>
            <w:r>
              <w:t xml:space="preserve">1.837</w:t>
            </w:r>
          </w:p>
        </w:tc>
        <w:tc>
          <w:tcPr/>
          <w:p>
            <w:pPr>
              <w:pStyle w:val="Compact"/>
              <w:jc w:val="right"/>
            </w:pPr>
            <w:r>
              <w:t xml:space="preserve">1.830</w:t>
            </w:r>
          </w:p>
        </w:tc>
      </w:tr>
      <w:tr>
        <w:tc>
          <w:tcPr/>
          <w:p>
            <w:pPr>
              <w:pStyle w:val="Compact"/>
              <w:jc w:val="center"/>
            </w:pPr>
            <w:r>
              <w:t xml:space="preserve">0.5</w:t>
            </w:r>
          </w:p>
        </w:tc>
        <w:tc>
          <w:tcPr/>
          <w:p>
            <w:pPr>
              <w:pStyle w:val="Compact"/>
              <w:jc w:val="right"/>
            </w:pPr>
            <w:r>
              <w:t xml:space="preserve">2.579</w:t>
            </w:r>
          </w:p>
        </w:tc>
        <w:tc>
          <w:tcPr/>
          <w:p>
            <w:pPr>
              <w:pStyle w:val="Compact"/>
              <w:jc w:val="right"/>
            </w:pPr>
            <w:r>
              <w:t xml:space="preserve">2.574</w:t>
            </w:r>
          </w:p>
        </w:tc>
        <w:tc>
          <w:tcPr/>
          <w:p>
            <w:pPr>
              <w:pStyle w:val="Compact"/>
              <w:jc w:val="right"/>
            </w:pPr>
            <w:r>
              <w:t xml:space="preserve">2.017</w:t>
            </w:r>
          </w:p>
        </w:tc>
        <w:tc>
          <w:tcPr/>
          <w:p>
            <w:pPr>
              <w:pStyle w:val="Compact"/>
              <w:jc w:val="right"/>
            </w:pPr>
            <w:r>
              <w:t xml:space="preserve">2.005</w:t>
            </w:r>
          </w:p>
        </w:tc>
      </w:tr>
      <w:tr>
        <w:tc>
          <w:tcPr/>
          <w:p>
            <w:pPr>
              <w:pStyle w:val="Compact"/>
              <w:jc w:val="center"/>
            </w:pPr>
            <w:r>
              <w:t xml:space="preserve">0.7</w:t>
            </w:r>
          </w:p>
        </w:tc>
        <w:tc>
          <w:tcPr/>
          <w:p>
            <w:pPr>
              <w:pStyle w:val="Compact"/>
              <w:jc w:val="right"/>
            </w:pPr>
            <w:r>
              <w:t xml:space="preserve">2.855</w:t>
            </w:r>
          </w:p>
        </w:tc>
        <w:tc>
          <w:tcPr/>
          <w:p>
            <w:pPr>
              <w:pStyle w:val="Compact"/>
              <w:jc w:val="right"/>
            </w:pPr>
            <w:r>
              <w:t xml:space="preserve">2.846</w:t>
            </w:r>
          </w:p>
        </w:tc>
        <w:tc>
          <w:tcPr/>
          <w:p>
            <w:pPr>
              <w:pStyle w:val="Compact"/>
              <w:jc w:val="right"/>
            </w:pPr>
            <w:r>
              <w:t xml:space="preserve">2.607</w:t>
            </w:r>
          </w:p>
        </w:tc>
        <w:tc>
          <w:tcPr/>
          <w:p>
            <w:pPr>
              <w:pStyle w:val="Compact"/>
              <w:jc w:val="right"/>
            </w:pPr>
            <w:r>
              <w:t xml:space="preserve">2.582</w:t>
            </w:r>
          </w:p>
        </w:tc>
      </w:tr>
      <w:tr>
        <w:tc>
          <w:tcPr/>
          <w:p>
            <w:pPr>
              <w:pStyle w:val="Compact"/>
              <w:jc w:val="center"/>
            </w:pPr>
            <w:r>
              <w:t xml:space="preserve">0.8</w:t>
            </w:r>
          </w:p>
        </w:tc>
        <w:tc>
          <w:tcPr/>
          <w:p>
            <w:pPr>
              <w:pStyle w:val="Compact"/>
              <w:jc w:val="right"/>
            </w:pPr>
            <w:r>
              <w:t xml:space="preserve">3.295</w:t>
            </w:r>
          </w:p>
        </w:tc>
        <w:tc>
          <w:tcPr/>
          <w:p>
            <w:pPr>
              <w:pStyle w:val="Compact"/>
              <w:jc w:val="right"/>
            </w:pPr>
            <w:r>
              <w:t xml:space="preserve">3.279</w:t>
            </w:r>
          </w:p>
        </w:tc>
        <w:tc>
          <w:tcPr/>
          <w:p>
            <w:pPr>
              <w:pStyle w:val="Compact"/>
              <w:jc w:val="right"/>
            </w:pPr>
            <w:r>
              <w:t xml:space="preserve">4.083</w:t>
            </w:r>
          </w:p>
        </w:tc>
        <w:tc>
          <w:tcPr/>
          <w:p>
            <w:pPr>
              <w:pStyle w:val="Compact"/>
              <w:jc w:val="right"/>
            </w:pPr>
            <w:r>
              <w:t xml:space="preserve">4.024</w:t>
            </w:r>
          </w:p>
        </w:tc>
      </w:tr>
    </w:tbl>
    <w:p>
      <w:pPr>
        <w:pStyle w:val="BodyText"/>
      </w:pPr>
      <w:r>
        <w:rPr>
          <w:iCs/>
          <w:i/>
        </w:rPr>
        <w:t xml:space="preserve">Table 7. Owner intensity: static cutoff versus dynamic-threshold proxy.</w:t>
      </w:r>
    </w:p>
    <w:p>
      <w:pPr>
        <w:pStyle w:val="BodyText"/>
      </w:pPr>
      <w:r>
        <w:t xml:space="preserve">Intensities move by less than one percent. The slope</w:t>
      </w:r>
      <w:r>
        <w:t xml:space="preserve"> </w:t>
      </w:r>
      <m:oMath>
        <m:r>
          <m:t>d</m:t>
        </m:r>
        <m:sSub>
          <m:e>
            <m:r>
              <m:t>μ</m:t>
            </m:r>
          </m:e>
          <m:sub>
            <m:r>
              <m:t>V</m:t>
            </m:r>
          </m:sub>
        </m:sSub>
        <m:r>
          <m:rPr>
            <m:sty m:val="p"/>
          </m:rPr>
          <m:t>/</m:t>
        </m:r>
        <m:r>
          <m:t>d</m:t>
        </m:r>
        <m:r>
          <m:t>R</m:t>
        </m:r>
      </m:oMath>
      <w:r>
        <w:t xml:space="preserve"> </w:t>
      </w:r>
      <w:r>
        <w:t xml:space="preserve">from</w:t>
      </w:r>
      <w:r>
        <w:t xml:space="preserve"> </w:t>
      </w:r>
      <m:oMath>
        <m:r>
          <m:t>R</m:t>
        </m:r>
        <m:r>
          <m:rPr>
            <m:sty m:val="p"/>
          </m:rPr>
          <m:t>=</m:t>
        </m:r>
        <m:r>
          <m:t>0.3</m:t>
        </m:r>
      </m:oMath>
      <w:r>
        <w:t xml:space="preserve"> </w:t>
      </w:r>
      <w:r>
        <w:t xml:space="preserve">to</w:t>
      </w:r>
      <w:r>
        <w:t xml:space="preserve"> </w:t>
      </w:r>
      <m:oMath>
        <m:r>
          <m:t>0.7</m:t>
        </m:r>
      </m:oMath>
      <w:r>
        <w:t xml:space="preserve"> </w:t>
      </w:r>
      <w:r>
        <w:t xml:space="preserve">is 0.95 under the static cutoff and 0.93 under the proxy. Complementarity is not an artifact of dropping volatility. Finite-difference estimates of</w:t>
      </w:r>
      <w:r>
        <w:t xml:space="preserve"> </w:t>
      </w:r>
      <m:oMath>
        <m:sSup>
          <m:e>
            <m:r>
              <m:rPr>
                <m:sty m:val="p"/>
              </m:rPr>
              <m:t>∂</m:t>
            </m:r>
          </m:e>
          <m:sup>
            <m:r>
              <m:t>2</m:t>
            </m:r>
          </m:sup>
        </m:sSup>
        <m:r>
          <m:t>E</m:t>
        </m:r>
        <m:d>
          <m:dPr>
            <m:begChr m:val="["/>
            <m:endChr m:val="]"/>
            <m:sepChr m:val=""/>
            <m:grow/>
          </m:dPr>
          <m:e>
            <m:r>
              <m:t>m</m:t>
            </m:r>
          </m:e>
        </m:d>
        <m:r>
          <m:rPr>
            <m:sty m:val="p"/>
          </m:rPr>
          <m:t>/</m:t>
        </m:r>
        <m:r>
          <m:rPr>
            <m:sty m:val="p"/>
          </m:rPr>
          <m:t>∂</m:t>
        </m:r>
        <m:r>
          <m:t>μ</m:t>
        </m:r>
        <m:r>
          <m:t> </m:t>
        </m:r>
        <m:r>
          <m:rPr>
            <m:sty m:val="p"/>
          </m:rPr>
          <m:t>∂</m:t>
        </m:r>
        <m:r>
          <m:t>R</m:t>
        </m:r>
      </m:oMath>
      <w:r>
        <w:t xml:space="preserve"> </w:t>
      </w:r>
      <w:r>
        <w:t xml:space="preserve">at</w:t>
      </w:r>
      <w:r>
        <w:t xml:space="preserve"> </w:t>
      </w:r>
      <m:oMath>
        <m:d>
          <m:dPr>
            <m:begChr m:val="("/>
            <m:endChr m:val=")"/>
            <m:sepChr m:val=""/>
            <m:grow/>
          </m:dPr>
          <m:e>
            <m:r>
              <m:t>R</m:t>
            </m:r>
            <m:r>
              <m:rPr>
                <m:sty m:val="p"/>
              </m:rPr>
              <m:t>,</m:t>
            </m:r>
            <m:r>
              <m:t>μ</m:t>
            </m:r>
          </m:e>
        </m:d>
        <m:r>
          <m:rPr>
            <m:sty m:val="p"/>
          </m:rPr>
          <m:t>=</m:t>
        </m:r>
        <m:d>
          <m:dPr>
            <m:begChr m:val="("/>
            <m:endChr m:val=")"/>
            <m:sepChr m:val=""/>
            <m:grow/>
          </m:dPr>
          <m:e>
            <m:r>
              <m:t>0.5</m:t>
            </m:r>
            <m:r>
              <m:rPr>
                <m:sty m:val="p"/>
              </m:rPr>
              <m:t>,</m:t>
            </m:r>
            <m:r>
              <m:t>2</m:t>
            </m:r>
          </m:e>
        </m:d>
      </m:oMath>
      <w:r>
        <w:t xml:space="preserve"> </w:t>
      </w:r>
      <w:r>
        <w:t xml:space="preserve">equal</w:t>
      </w:r>
      <w:r>
        <w:t xml:space="preserve"> </w:t>
      </w:r>
      <m:oMath>
        <m:r>
          <m:rPr>
            <m:sty m:val="p"/>
          </m:rPr>
          <m:t>−</m:t>
        </m:r>
        <m:r>
          <m:t>2.05</m:t>
        </m:r>
      </m:oMath>
      <w:r>
        <w:t xml:space="preserve"> </w:t>
      </w:r>
      <w:r>
        <w:t xml:space="preserve">(static) and</w:t>
      </w:r>
      <w:r>
        <w:t xml:space="preserve"> </w:t>
      </w:r>
      <m:oMath>
        <m:r>
          <m:rPr>
            <m:sty m:val="p"/>
          </m:rPr>
          <m:t>−</m:t>
        </m:r>
        <m:r>
          <m:t>2.02</m:t>
        </m:r>
      </m:oMath>
      <w:r>
        <w:t xml:space="preserve"> </w:t>
      </w:r>
      <w:r>
        <w:t xml:space="preserve">(proxy).</w:t>
      </w:r>
    </w:p>
    <w:bookmarkEnd w:id="33"/>
    <w:bookmarkStart w:id="34" w:name="logit-specificity-of-one-third"/>
    <w:p>
      <w:pPr>
        <w:pStyle w:val="Heading3"/>
      </w:pPr>
      <w:r>
        <w:t xml:space="preserve">7.5 Logit specificity of one-third</w:t>
      </w:r>
    </w:p>
    <w:p>
      <w:pPr>
        <w:pStyle w:val="FirstParagraph"/>
      </w:pPr>
      <w:r>
        <w:t xml:space="preserve">The one-third weight uses two logit facts: the own-price markup</w:t>
      </w:r>
      <w:r>
        <w:t xml:space="preserve"> </w:t>
      </w:r>
      <m:oMath>
        <m:r>
          <m:t>p</m:t>
        </m:r>
        <m:r>
          <m:rPr>
            <m:sty m:val="p"/>
          </m:rPr>
          <m:t>=</m:t>
        </m:r>
        <m:r>
          <m:t>2</m:t>
        </m:r>
        <m:r>
          <m:t>η</m:t>
        </m:r>
      </m:oMath>
      <w:r>
        <w:t xml:space="preserve"> </w:t>
      </w:r>
      <w:r>
        <w:t xml:space="preserve">at symmetry, and a quality shock that splits one-third into price and one-third into share. Under Hotelling the analogous weight differs. Pure-strategy price equilibria fail when</w:t>
      </w:r>
      <w:r>
        <w:t xml:space="preserve"> </w:t>
      </w:r>
      <m:oMath>
        <m:r>
          <m:t>η</m:t>
        </m:r>
      </m:oMath>
      <w:r>
        <w:t xml:space="preserve"> </w:t>
      </w:r>
      <w:r>
        <w:t xml:space="preserve">is small relative to value heterogeneity. The one-third rule should be read as: competing owners internalize a constant that is strictly less than one-half, and in the standard discrete-choice workhorse that constant is one-third.</w:t>
      </w:r>
    </w:p>
    <w:bookmarkEnd w:id="34"/>
    <w:bookmarkEnd w:id="35"/>
    <w:bookmarkStart w:id="39" w:name="implications-for-research-and-practice"/>
    <w:p>
      <w:pPr>
        <w:pStyle w:val="Heading2"/>
      </w:pPr>
      <w:r>
        <w:t xml:space="preserve">8. Implications for Research and Practice</w:t>
      </w:r>
    </w:p>
    <w:bookmarkStart w:id="36" w:name="implications-for-research"/>
    <w:p>
      <w:pPr>
        <w:pStyle w:val="Heading3"/>
      </w:pPr>
      <w:r>
        <w:t xml:space="preserve">8.1 Implications for research</w:t>
      </w:r>
    </w:p>
    <w:p>
      <w:pPr>
        <w:pStyle w:val="FirstParagraph"/>
      </w:pPr>
      <w:r>
        <w:rPr>
          <w:iCs/>
          <w:i/>
        </w:rPr>
        <w:t xml:space="preserve">Post-adoption IS value.</w:t>
      </w:r>
      <w:r>
        <w:t xml:space="preserve"> </w:t>
      </w:r>
      <w:r>
        <w:t xml:space="preserve">The real-options view of IT platforms has concentrated on when to adopt. Our results show that the maintenance decision has its own option structure, with a free partial transfer (copy) knocking out blanket retraining and a costly tool surviving only in a bounded intermediate band. Empirical work on IT asset value should therefore measure recovery under upgrades, not only adoption timing.</w:t>
      </w:r>
    </w:p>
    <w:p>
      <w:pPr>
        <w:pStyle w:val="BodyText"/>
      </w:pPr>
      <w:r>
        <w:rPr>
          <w:iCs/>
          <w:i/>
        </w:rPr>
        <w:t xml:space="preserve">Platform governance.</w:t>
      </w:r>
      <w:r>
        <w:t xml:space="preserve"> </w:t>
      </w:r>
      <w:r>
        <w:t xml:space="preserve">Release cadence and compatibility support are governance instruments that the platform owner sets jointly. Treating them separately misses their complementarity and the distributional consequence that follows. A testable implication is that, across platforms, announcements of migration or compatibility tooling should be followed by higher release frequency, and that the customers with the highest-value retrained assets should be the most likely to object.</w:t>
      </w:r>
    </w:p>
    <w:p>
      <w:pPr>
        <w:pStyle w:val="BodyText"/>
      </w:pPr>
      <w:r>
        <w:rPr>
          <w:iCs/>
          <w:i/>
        </w:rPr>
        <w:t xml:space="preserve">Platform competition.</w:t>
      </w:r>
      <w:r>
        <w:t xml:space="preserve"> </w:t>
      </w:r>
      <w:r>
        <w:t xml:space="preserve">Platforms can separate on the speed–compatibility bundle, and customers sort across them by asset value. This suggests studying asset-level heterogeneity, not only customer-level heterogeneity, in platform choice.</w:t>
      </w:r>
    </w:p>
    <w:bookmarkEnd w:id="36"/>
    <w:bookmarkStart w:id="37" w:name="implications-for-practice"/>
    <w:p>
      <w:pPr>
        <w:pStyle w:val="Heading3"/>
      </w:pPr>
      <w:r>
        <w:t xml:space="preserve">8.2 Implications for practice</w:t>
      </w:r>
    </w:p>
    <w:p>
      <w:pPr>
        <w:pStyle w:val="FirstParagraph"/>
      </w:pPr>
      <w:r>
        <w:t xml:space="preserve">Five implications do not depend on a named transfer algorithm.</w:t>
      </w:r>
    </w:p>
    <w:p>
      <w:pPr>
        <w:numPr>
          <w:ilvl w:val="0"/>
          <w:numId w:val="1001"/>
        </w:numPr>
        <w:pStyle w:val="Compact"/>
      </w:pPr>
      <w:r>
        <w:rPr>
          <w:bCs/>
          <w:b/>
        </w:rPr>
        <w:t xml:space="preserve">Triage by value.</w:t>
      </w:r>
      <w:r>
        <w:t xml:space="preserve"> </w:t>
      </w:r>
      <w:r>
        <w:t xml:space="preserve">Triage complementary assets by value relative to retraining cost, and let the platform’s estimated</w:t>
      </w:r>
      <w:r>
        <w:t xml:space="preserve"> </w:t>
      </w:r>
      <m:oMath>
        <m:r>
          <m:t>μ</m:t>
        </m:r>
      </m:oMath>
      <w:r>
        <w:t xml:space="preserve"> </w:t>
      </w:r>
      <w:r>
        <w:t xml:space="preserve">set the boundaries. Copy below a low cutoff, consider a costly transfer tool in the middle, retrain only above a high cutoff.</w:t>
      </w:r>
    </w:p>
    <w:p>
      <w:pPr>
        <w:numPr>
          <w:ilvl w:val="0"/>
          <w:numId w:val="1001"/>
        </w:numPr>
        <w:pStyle w:val="Compact"/>
      </w:pPr>
      <w:r>
        <w:rPr>
          <w:bCs/>
          <w:b/>
        </w:rPr>
        <w:t xml:space="preserve">Buy tools against</w:t>
      </w:r>
      <w:r>
        <w:rPr>
          <w:bCs/>
          <w:b/>
        </w:rPr>
        <w:t xml:space="preserve"> </w:t>
      </w:r>
      <m:oMath>
        <m:r>
          <m:t>Γ</m:t>
        </m:r>
      </m:oMath>
      <w:r>
        <w:rPr>
          <w:bCs/>
          <w:b/>
        </w:rPr>
        <w:t xml:space="preserve">.</w:t>
      </w:r>
      <w:r>
        <w:t xml:space="preserve"> </w:t>
      </w:r>
      <w:r>
        <w:t xml:space="preserve">Buy transfer tools when measured</w:t>
      </w:r>
      <w:r>
        <w:t xml:space="preserve"> </w:t>
      </w:r>
      <m:oMath>
        <m:sSub>
          <m:e>
            <m:r>
              <m:t>C</m:t>
            </m:r>
          </m:e>
          <m:sub>
            <m:r>
              <m:t>A</m:t>
            </m:r>
          </m:sub>
        </m:sSub>
        <m:r>
          <m:rPr>
            <m:sty m:val="p"/>
          </m:rPr>
          <m:t>&lt;</m:t>
        </m:r>
        <m:r>
          <m:t>Γ</m:t>
        </m:r>
        <m:d>
          <m:dPr>
            <m:begChr m:val="("/>
            <m:endChr m:val=")"/>
            <m:sepChr m:val=""/>
            <m:grow/>
          </m:dPr>
          <m:e>
            <m:sSub>
              <m:e>
                <m:r>
                  <m:t>R</m:t>
                </m:r>
              </m:e>
              <m:sub>
                <m:r>
                  <m:t>A</m:t>
                </m:r>
              </m:sub>
            </m:sSub>
            <m:r>
              <m:rPr>
                <m:sty m:val="p"/>
              </m:rPr>
              <m:t>,</m:t>
            </m:r>
            <m:sSub>
              <m:e>
                <m:r>
                  <m:t>R</m:t>
                </m:r>
              </m:e>
              <m:sub>
                <m:r>
                  <m:t>C</m:t>
                </m:r>
              </m:sub>
            </m:sSub>
          </m:e>
        </m:d>
      </m:oMath>
      <w:r>
        <w:t xml:space="preserve">. After small upgrades that inequality typically fails because free copy is already close to retraining.</w:t>
      </w:r>
    </w:p>
    <w:p>
      <w:pPr>
        <w:numPr>
          <w:ilvl w:val="0"/>
          <w:numId w:val="1001"/>
        </w:numPr>
        <w:pStyle w:val="Compact"/>
      </w:pPr>
      <w:r>
        <w:rPr>
          <w:bCs/>
          <w:b/>
        </w:rPr>
        <w:t xml:space="preserve">Treat cadence as part of procurement.</w:t>
      </w:r>
      <w:r>
        <w:t xml:space="preserve"> </w:t>
      </w:r>
      <w:r>
        <w:t xml:space="preserve">Owner-provided migration tools should be expected to arrive with faster releases. Owners of the highest-value assets, who retrain anyway, can be made worse off by those tools. For those assets, a contractual cap on release frequency or a long-term-support line can be worth more than a better converter.</w:t>
      </w:r>
    </w:p>
    <w:p>
      <w:pPr>
        <w:numPr>
          <w:ilvl w:val="0"/>
          <w:numId w:val="1001"/>
        </w:numPr>
        <w:pStyle w:val="Compact"/>
      </w:pPr>
      <w:r>
        <w:rPr>
          <w:bCs/>
          <w:b/>
        </w:rPr>
        <w:t xml:space="preserve">Segment across platforms.</w:t>
      </w:r>
      <w:r>
        <w:t xml:space="preserve"> </w:t>
      </w:r>
      <w:r>
        <w:t xml:space="preserve">If owners separate into frontier and stable platforms, park high-value and regulated adapters on the stable line and mid-value adapters on the frontier line.</w:t>
      </w:r>
    </w:p>
    <w:p>
      <w:pPr>
        <w:numPr>
          <w:ilvl w:val="0"/>
          <w:numId w:val="1001"/>
        </w:numPr>
        <w:pStyle w:val="Compact"/>
      </w:pPr>
      <w:r>
        <w:rPr>
          <w:bCs/>
          <w:b/>
        </w:rPr>
        <w:t xml:space="preserve">Time retraining.</w:t>
      </w:r>
      <w:r>
        <w:t xml:space="preserve"> </w:t>
      </w:r>
      <w:r>
        <w:t xml:space="preserve">When the next dated release is near, defer retraining of adapters that sit close to</w:t>
      </w:r>
      <w:r>
        <w:t xml:space="preserve"> </w:t>
      </w:r>
      <m:oMath>
        <m:sSup>
          <m:e>
            <m:r>
              <m:t>v</m:t>
            </m:r>
          </m:e>
          <m:sup>
            <m:r>
              <m:rPr>
                <m:sty m:val="p"/>
              </m:rPr>
              <m:t>*</m:t>
            </m:r>
          </m:sup>
        </m:sSup>
      </m:oMath>
      <w:r>
        <w:t xml:space="preserve">.</w:t>
      </w:r>
    </w:p>
    <w:bookmarkEnd w:id="37"/>
    <w:bookmarkStart w:id="38" w:name="limitations-and-future-research"/>
    <w:p>
      <w:pPr>
        <w:pStyle w:val="Heading3"/>
      </w:pPr>
      <w:r>
        <w:t xml:space="preserve">8.3 Limitations and future research</w:t>
      </w:r>
    </w:p>
    <w:p>
      <w:pPr>
        <w:pStyle w:val="FirstParagraph"/>
      </w:pPr>
      <w:r>
        <w:t xml:space="preserve">Value is taken as linear in</w:t>
      </w:r>
      <w:r>
        <w:t xml:space="preserve"> </w:t>
      </w:r>
      <m:oMath>
        <m:r>
          <m:t>R</m:t>
        </m:r>
      </m:oMath>
      <w:r>
        <w:t xml:space="preserve">; the owner’s problem is solved in the static limit, with a dynamic-threshold proxy in Section 7.4; the asymmetric compatibility equilibrium is numerical; the switching game is characterized only to first order; the recovery measurements are small-scale (160M to 0.5B parameters, one task, one seed); and open lines can be discontinued. The first empirical priority is</w:t>
      </w:r>
      <w:r>
        <w:t xml:space="preserve"> </w:t>
      </w:r>
      <m:oMath>
        <m:d>
          <m:dPr>
            <m:begChr m:val="("/>
            <m:endChr m:val=")"/>
            <m:sepChr m:val=""/>
            <m:grow/>
          </m:dPr>
          <m:e>
            <m:r>
              <m:t>g</m:t>
            </m:r>
            <m:r>
              <m:rPr>
                <m:sty m:val="p"/>
              </m:rPr>
              <m:t>,</m:t>
            </m:r>
            <m:r>
              <m:t>σ</m:t>
            </m:r>
          </m:e>
        </m:d>
      </m:oMath>
      <w:r>
        <w:t xml:space="preserve"> </w:t>
      </w:r>
      <w:r>
        <w:t xml:space="preserve">from service logs and a historical cost accounting of copy versus retrain-every-time on a real adapter portfolio. A natural field-data test of Proposition 6 is whether the introduction of owner-provided migration tooling predicts a subsequent change in release frequency.</w:t>
      </w:r>
    </w:p>
    <w:bookmarkEnd w:id="38"/>
    <w:bookmarkEnd w:id="39"/>
    <w:bookmarkStart w:id="40" w:name="conclusion"/>
    <w:p>
      <w:pPr>
        <w:pStyle w:val="Heading2"/>
      </w:pPr>
      <w:r>
        <w:t xml:space="preserve">9. Conclusion</w:t>
      </w:r>
    </w:p>
    <w:p>
      <w:pPr>
        <w:pStyle w:val="FirstParagraph"/>
      </w:pPr>
      <w:r>
        <w:t xml:space="preserve">The paper’s theoretical claim is not that any particular converter is optimal. It is that complementary assets on an evolving platform create a maintenance option; that a free partial transfer already knocks out blanket retraining; that a costly converter has a market only in a bounded intermediate band; and that the platform owner, facing that band, will use improvements in the converter to go faster. Competing owners internalize a fixed fraction of the resulting change in customer surplus; in the logit workhorse the fraction is one-third. Platforms are not only bundles of options for adopters (Fichman 2004). They are also the agents that choose how fast those options expire.</w:t>
      </w:r>
    </w:p>
    <w:bookmarkEnd w:id="40"/>
    <w:bookmarkStart w:id="41" w:name="references"/>
    <w:p>
      <w:pPr>
        <w:pStyle w:val="Heading2"/>
      </w:pPr>
      <w:r>
        <w:t xml:space="preserve">References</w:t>
      </w:r>
    </w:p>
    <w:p>
      <w:pPr>
        <w:pStyle w:val="FirstParagraph"/>
      </w:pPr>
      <w:r>
        <w:t xml:space="preserve">Armstrong M (2006) Competition in two-sided markets.</w:t>
      </w:r>
      <w:r>
        <w:t xml:space="preserve"> </w:t>
      </w:r>
      <w:r>
        <w:rPr>
          <w:iCs/>
          <w:i/>
        </w:rPr>
        <w:t xml:space="preserve">RAND J. Econom.</w:t>
      </w:r>
      <w:r>
        <w:t xml:space="preserve"> </w:t>
      </w:r>
      <w:r>
        <w:t xml:space="preserve">37(3):668–691.</w:t>
      </w:r>
    </w:p>
    <w:p>
      <w:pPr>
        <w:pStyle w:val="BodyText"/>
      </w:pPr>
      <w:r>
        <w:t xml:space="preserve">Benaroch M (2001) Option-based management of technology investment risk.</w:t>
      </w:r>
      <w:r>
        <w:t xml:space="preserve"> </w:t>
      </w:r>
      <w:r>
        <w:rPr>
          <w:iCs/>
          <w:i/>
        </w:rPr>
        <w:t xml:space="preserve">IEEE Trans. Engrg. Management</w:t>
      </w:r>
      <w:r>
        <w:t xml:space="preserve"> </w:t>
      </w:r>
      <w:r>
        <w:t xml:space="preserve">48(4):428–444.</w:t>
      </w:r>
    </w:p>
    <w:p>
      <w:pPr>
        <w:pStyle w:val="BodyText"/>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Dos Santos BL (1991) Justifying investments in new information technologies.</w:t>
      </w:r>
      <w:r>
        <w:t xml:space="preserve"> </w:t>
      </w:r>
      <w:r>
        <w:rPr>
          <w:iCs/>
          <w:i/>
        </w:rPr>
        <w:t xml:space="preserve">J. Management Inform. Systems</w:t>
      </w:r>
      <w:r>
        <w:t xml:space="preserve"> </w:t>
      </w:r>
      <w:r>
        <w:t xml:space="preserve">7(4):71–89.</w:t>
      </w:r>
    </w:p>
    <w:p>
      <w:pPr>
        <w:pStyle w:val="BodyText"/>
      </w:pPr>
      <w:r>
        <w:t xml:space="preserve">Farhadzadeh F, Das D, Borse S, Porikli F (2025a) LoRA-X: Bridging foundation models with training-free cross-model adaptation.</w:t>
      </w:r>
      <w:r>
        <w:t xml:space="preserve"> </w:t>
      </w:r>
      <w:r>
        <w:rPr>
          <w:iCs/>
          <w:i/>
        </w:rPr>
        <w:t xml:space="preserve">Proc. 13th Internat. Conf. Learn. Representations.</w:t>
      </w:r>
    </w:p>
    <w:p>
      <w:pPr>
        <w:pStyle w:val="BodyText"/>
      </w:pPr>
      <w:r>
        <w:t xml:space="preserve">Farhadzadeh F, Das D, Borse S, Porikli F (2025b) Zero-shot adaptation of parameter-efficient fine-tuning in diffusion models.</w:t>
      </w:r>
      <w:r>
        <w:t xml:space="preserve"> </w:t>
      </w:r>
      <w:r>
        <w:rPr>
          <w:iCs/>
          <w:i/>
        </w:rPr>
        <w:t xml:space="preserve">Proc. 42nd Internat. Conf. Machine Learn.</w:t>
      </w:r>
      <w:r>
        <w:t xml:space="preserve">, PMLR 267:16144–16160.</w:t>
      </w:r>
    </w:p>
    <w:p>
      <w:pPr>
        <w:pStyle w:val="BodyText"/>
      </w:pPr>
      <w:r>
        <w:t xml:space="preserve">Farrell J, Saloner G (1985) Standardization, compatibility, and innovation.</w:t>
      </w:r>
      <w:r>
        <w:t xml:space="preserve"> </w:t>
      </w:r>
      <w:r>
        <w:rPr>
          <w:iCs/>
          <w:i/>
        </w:rPr>
        <w:t xml:space="preserve">RAND J. Econom.</w:t>
      </w:r>
      <w:r>
        <w:t xml:space="preserve"> </w:t>
      </w:r>
      <w:r>
        <w:t xml:space="preserve">16(1):70–83.</w:t>
      </w:r>
    </w:p>
    <w:p>
      <w:pPr>
        <w:pStyle w:val="BodyText"/>
      </w:pPr>
      <w:r>
        <w:t xml:space="preserve">Fichman RG (2004) Real options and IT platform adoption: Implications for theory and practice.</w:t>
      </w:r>
      <w:r>
        <w:t xml:space="preserve"> </w:t>
      </w:r>
      <w:r>
        <w:rPr>
          <w:iCs/>
          <w:i/>
        </w:rPr>
        <w:t xml:space="preserve">Inform. Systems Res.</w:t>
      </w:r>
      <w:r>
        <w:t xml:space="preserve"> </w:t>
      </w:r>
      <w:r>
        <w:t xml:space="preserve">15(2):132–154.</w:t>
      </w:r>
    </w:p>
    <w:p>
      <w:pPr>
        <w:pStyle w:val="BodyText"/>
      </w:pPr>
      <w:r>
        <w:t xml:space="preserve">Ghazawneh A, Henfridsson O (2013) Balancing platform control and external contribution in third-party development: The boundary resources model.</w:t>
      </w:r>
      <w:r>
        <w:t xml:space="preserve"> </w:t>
      </w:r>
      <w:r>
        <w:rPr>
          <w:iCs/>
          <w:i/>
        </w:rPr>
        <w:t xml:space="preserve">Inform. Systems J.</w:t>
      </w:r>
      <w:r>
        <w:t xml:space="preserve"> </w:t>
      </w:r>
      <w:r>
        <w:t xml:space="preserve">23(2):173–192.</w:t>
      </w:r>
    </w:p>
    <w:p>
      <w:pPr>
        <w:pStyle w:val="BodyText"/>
      </w:pPr>
      <w:r>
        <w:t xml:space="preserve">Grenadier SR, Weiss AM (1997) Investment in technological innovations: An option pricing approach.</w:t>
      </w:r>
      <w:r>
        <w:t xml:space="preserve"> </w:t>
      </w:r>
      <w:r>
        <w:rPr>
          <w:iCs/>
          <w:i/>
        </w:rPr>
        <w:t xml:space="preserve">J. Financial Econom.</w:t>
      </w:r>
      <w:r>
        <w:t xml:space="preserve"> </w:t>
      </w:r>
      <w:r>
        <w:t xml:space="preserve">44(3):397–416.</w:t>
      </w:r>
    </w:p>
    <w:p>
      <w:pPr>
        <w:pStyle w:val="BodyText"/>
      </w:pPr>
      <w:r>
        <w:t xml:space="preserve">Hochlehnert A, Liu D, Niehues J, Kumar S, Stahlberg F (2026) On the importance of trivial baselines: Re-evaluating LoRA adapter transfer for generative tasks.</w:t>
      </w:r>
      <w:r>
        <w:t xml:space="preserve"> </w:t>
      </w:r>
      <w:r>
        <w:rPr>
          <w:iCs/>
          <w:i/>
        </w:rPr>
        <w:t xml:space="preserve">Proc. 43rd Internat. Conf. Machine Learn.</w:t>
      </w:r>
    </w:p>
    <w:p>
      <w:pPr>
        <w:pStyle w:val="BodyText"/>
      </w:pPr>
      <w:r>
        <w:t xml:space="preserve">Kamrad B, Schmidt GM, Ulku S (2013) Analyzing product architecture under technological change: Modular upgradeability tradeoffs.</w:t>
      </w:r>
      <w:r>
        <w:t xml:space="preserve"> </w:t>
      </w:r>
      <w:r>
        <w:rPr>
          <w:iCs/>
          <w:i/>
        </w:rPr>
        <w:t xml:space="preserve">IEEE Trans. Engrg. Management</w:t>
      </w:r>
      <w:r>
        <w:t xml:space="preserve"> </w:t>
      </w:r>
      <w:r>
        <w:t xml:space="preserve">60(2):289–300.</w:t>
      </w:r>
    </w:p>
    <w:p>
      <w:pPr>
        <w:pStyle w:val="BodyText"/>
      </w:pPr>
      <w:r>
        <w:t xml:space="preserve">Katz ML, Shapiro C (1985) Network externalities, competition, and compatibility.</w:t>
      </w:r>
      <w:r>
        <w:t xml:space="preserve"> </w:t>
      </w:r>
      <w:r>
        <w:rPr>
          <w:iCs/>
          <w:i/>
        </w:rPr>
        <w:t xml:space="preserve">Amer. Econom. Rev.</w:t>
      </w:r>
      <w:r>
        <w:t xml:space="preserve"> </w:t>
      </w:r>
      <w:r>
        <w:t xml:space="preserve">75(3):424–440.</w:t>
      </w:r>
    </w:p>
    <w:p>
      <w:pPr>
        <w:pStyle w:val="BodyText"/>
      </w:pPr>
      <w:r>
        <w:t xml:space="preserve">Kauffman RJ, Li X (2005) Technology competition and optimal investment timing: A real options perspective.</w:t>
      </w:r>
      <w:r>
        <w:t xml:space="preserve"> </w:t>
      </w:r>
      <w:r>
        <w:rPr>
          <w:iCs/>
          <w:i/>
        </w:rPr>
        <w:t xml:space="preserve">IEEE Trans. Engrg. Management</w:t>
      </w:r>
      <w:r>
        <w:t xml:space="preserve"> </w:t>
      </w:r>
      <w:r>
        <w:t xml:space="preserve">52(1):15–29.</w:t>
      </w:r>
    </w:p>
    <w:p>
      <w:pPr>
        <w:pStyle w:val="BodyText"/>
      </w:pPr>
      <w:r>
        <w:t xml:space="preserve">Li Y, Meng F, Zhang M, Zhu S, Wang S, Xu M (2025) LoRASuite: Efficient LoRA adaptation across large language model upgrades.</w:t>
      </w:r>
      <w:r>
        <w:t xml:space="preserve"> </w:t>
      </w:r>
      <w:r>
        <w:rPr>
          <w:iCs/>
          <w:i/>
        </w:rPr>
        <w:t xml:space="preserve">Adv. Neural Inform. Processing Systems</w:t>
      </w:r>
      <w:r>
        <w:t xml:space="preserve"> </w:t>
      </w:r>
      <w:r>
        <w:t xml:space="preserve">38.</w:t>
      </w:r>
    </w:p>
    <w:p>
      <w:pPr>
        <w:pStyle w:val="BodyText"/>
      </w:pPr>
      <w:r>
        <w:t xml:space="preserve">Mahadevan A, Mathioudakis M (2023) Cost-effective retraining of machine learning models. Working paper, arXiv:2310.04216.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Milgrom P, Shannon C (1994) Monotone comparative statics.</w:t>
      </w:r>
      <w:r>
        <w:t xml:space="preserve"> </w:t>
      </w:r>
      <w:r>
        <w:rPr>
          <w:iCs/>
          <w:i/>
        </w:rPr>
        <w:t xml:space="preserve">Econometrica</w:t>
      </w:r>
      <w:r>
        <w:t xml:space="preserve"> </w:t>
      </w:r>
      <w:r>
        <w:t xml:space="preserve">62(1):157–180.</w:t>
      </w:r>
    </w:p>
    <w:p>
      <w:pPr>
        <w:pStyle w:val="BodyText"/>
      </w:pPr>
      <w:r>
        <w:t xml:space="preserve">Parker G, Van Alstyne M (2018) Innovation, openness, and platform control.</w:t>
      </w:r>
      <w:r>
        <w:t xml:space="preserve"> </w:t>
      </w:r>
      <w:r>
        <w:rPr>
          <w:iCs/>
          <w:i/>
        </w:rPr>
        <w:t xml:space="preserve">Management Sci.</w:t>
      </w:r>
      <w:r>
        <w:t xml:space="preserve"> </w:t>
      </w:r>
      <w:r>
        <w:t xml:space="preserve">64(7):3015–3032.</w:t>
      </w:r>
    </w:p>
    <w:p>
      <w:pPr>
        <w:pStyle w:val="BodyText"/>
      </w:pPr>
      <w:r>
        <w:t xml:space="preserve">Rajagopalan S (1999) Adoption timing of new equipment with another innovation anticipated.</w:t>
      </w:r>
      <w:r>
        <w:t xml:space="preserve"> </w:t>
      </w:r>
      <w:r>
        <w:rPr>
          <w:iCs/>
          <w:i/>
        </w:rPr>
        <w:t xml:space="preserve">IEEE Trans. Engrg. Management</w:t>
      </w:r>
      <w:r>
        <w:t xml:space="preserve"> </w:t>
      </w:r>
      <w:r>
        <w:t xml:space="preserve">46(1):14–25.</w:t>
      </w:r>
    </w:p>
    <w:p>
      <w:pPr>
        <w:pStyle w:val="BodyText"/>
      </w:pPr>
      <w:r>
        <w:t xml:space="preserve">Regol F, Schwinn L, Sprague K, Coates M, Markovich T (2025) When to retrain a machine learning model.</w:t>
      </w:r>
      <w:r>
        <w:t xml:space="preserve"> </w:t>
      </w:r>
      <w:r>
        <w:rPr>
          <w:iCs/>
          <w:i/>
        </w:rPr>
        <w:t xml:space="preserve">Proc. 42nd Internat. Conf. Machine Learn.</w:t>
      </w:r>
      <w:r>
        <w:t xml:space="preserve">, PMLR 267.</w:t>
      </w:r>
    </w:p>
    <w:p>
      <w:pPr>
        <w:pStyle w:val="BodyText"/>
      </w:pPr>
      <w:r>
        <w:t xml:space="preserve">Rochet J-C, Tirole J (2003) Platform competition in two-sided markets.</w:t>
      </w:r>
      <w:r>
        <w:t xml:space="preserve"> </w:t>
      </w:r>
      <w:r>
        <w:rPr>
          <w:iCs/>
          <w:i/>
        </w:rPr>
        <w:t xml:space="preserve">J. Eur. Econom. Assoc.</w:t>
      </w:r>
      <w:r>
        <w:t xml:space="preserve"> </w:t>
      </w:r>
      <w:r>
        <w:t xml:space="preserve">1(4):990–1029.</w:t>
      </w:r>
    </w:p>
    <w:p>
      <w:pPr>
        <w:pStyle w:val="BodyText"/>
      </w:pPr>
      <w:r>
        <w:t xml:space="preserve">Santiago LP, Bifano TG (2005) Management of R&amp;D projects under uncertainty.</w:t>
      </w:r>
      <w:r>
        <w:t xml:space="preserve"> </w:t>
      </w:r>
      <w:r>
        <w:rPr>
          <w:iCs/>
          <w:i/>
        </w:rPr>
        <w:t xml:space="preserve">IEEE Trans. Engrg. Management</w:t>
      </w:r>
      <w:r>
        <w:t xml:space="preserve"> </w:t>
      </w:r>
      <w:r>
        <w:t xml:space="preserve">52(2):269–280.</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Swanson EB (1976) The dimensions of maintenance.</w:t>
      </w:r>
      <w:r>
        <w:t xml:space="preserve"> </w:t>
      </w:r>
      <w:r>
        <w:rPr>
          <w:iCs/>
          <w:i/>
        </w:rPr>
        <w:t xml:space="preserve">Proc. 2nd Internat. Conf. Software Engrg.</w:t>
      </w:r>
      <w:r>
        <w:t xml:space="preserve"> </w:t>
      </w:r>
      <w:r>
        <w:t xml:space="preserve">(IEEE Computer Society Press, Los Alamitos, CA), 492–497.</w:t>
      </w:r>
    </w:p>
    <w:p>
      <w:pPr>
        <w:pStyle w:val="BodyText"/>
      </w:pPr>
      <w:r>
        <w:t xml:space="preserve">Taudes A, Feurstein M, Mild A (2000) Options analysis of software platform decisions: A case study.</w:t>
      </w:r>
      <w:r>
        <w:t xml:space="preserve"> </w:t>
      </w:r>
      <w:r>
        <w:rPr>
          <w:iCs/>
          <w:i/>
        </w:rPr>
        <w:t xml:space="preserve">MIS Quart.</w:t>
      </w:r>
      <w:r>
        <w:t xml:space="preserve"> </w:t>
      </w:r>
      <w:r>
        <w:t xml:space="preserve">24(2):227–243.</w:t>
      </w:r>
    </w:p>
    <w:p>
      <w:pPr>
        <w:pStyle w:val="BodyText"/>
      </w:pPr>
      <w:r>
        <w:t xml:space="preserve">Tewari G (2026) Pilot early, commit late: A real-options model of enterprise AI adoption under rapid technological progress. Working paper, arXiv:2609.15919.</w:t>
      </w:r>
    </w:p>
    <w:p>
      <w:pPr>
        <w:pStyle w:val="BodyText"/>
      </w:pPr>
      <w:r>
        <w:t xml:space="preserve">Tiwana A, Konsynski B, Bush AA (2010) Platform evolution: Coevolution of platform architecture, governance, and environmental dynamics.</w:t>
      </w:r>
      <w:r>
        <w:t xml:space="preserve"> </w:t>
      </w:r>
      <w:r>
        <w:rPr>
          <w:iCs/>
          <w:i/>
        </w:rPr>
        <w:t xml:space="preserve">Inform. Systems Res.</w:t>
      </w:r>
      <w:r>
        <w:t xml:space="preserve"> </w:t>
      </w:r>
      <w:r>
        <w:t xml:space="preserve">21(4):675–687.</w:t>
      </w:r>
    </w:p>
    <w:p>
      <w:pPr>
        <w:pStyle w:val="BodyText"/>
      </w:pPr>
      <w:r>
        <w:t xml:space="preserve">Tullock G (1980) Efficient rent seeking. Buchanan JM, Tollison RD, Tullock G, eds. </w:t>
      </w:r>
      <w:r>
        <w:rPr>
          <w:iCs/>
          <w:i/>
        </w:rPr>
        <w:t xml:space="preserve">Toward a Theory of the Rent-Seeking Society</w:t>
      </w:r>
      <w:r>
        <w:t xml:space="preserve"> </w:t>
      </w:r>
      <w:r>
        <w:t xml:space="preserve">(Texas A&amp;M University Press, College Station), 97–112.</w:t>
      </w:r>
    </w:p>
    <w:p>
      <w:pPr>
        <w:pStyle w:val="BodyText"/>
      </w:pPr>
      <w:r>
        <w:t xml:space="preserve">Wang R, Ghosh S, Cox D, Antognini D, Oliva A, Feris R, Karlinsky L (2024) Trans-LoRA: Towards data-free transferable parameter efficient finetuning.</w:t>
      </w:r>
      <w:r>
        <w:t xml:space="preserve"> </w:t>
      </w:r>
      <w:r>
        <w:rPr>
          <w:iCs/>
          <w:i/>
        </w:rPr>
        <w:t xml:space="preserve">Adv. Neural Inform. Processing Systems</w:t>
      </w:r>
      <w:r>
        <w:t xml:space="preserve"> </w:t>
      </w:r>
      <w:r>
        <w:t xml:space="preserve">37.</w:t>
      </w:r>
    </w:p>
    <w:p>
      <w:pPr>
        <w:pStyle w:val="BodyText"/>
      </w:pPr>
      <w:r>
        <w:t xml:space="preserve">Xia F, Liao M, Fang Y, Li D, Xie Y, Li W, Li Y, Xia D, Huang J (2025) Cross-LoRA: A data-free LoRA transfer framework across heterogeneous LLMs. Working paper, arXiv:2508.05232.</w:t>
      </w:r>
    </w:p>
    <w:p>
      <w:pPr>
        <w:pStyle w:val="BodyText"/>
      </w:pPr>
      <w:r>
        <w:t xml:space="preserve">Yoo Y, Henfridsson O, Lyytinen K (2010) The new organizing logic of digital innovation: An agenda for information systems research.</w:t>
      </w:r>
      <w:r>
        <w:t xml:space="preserve"> </w:t>
      </w:r>
      <w:r>
        <w:rPr>
          <w:iCs/>
          <w:i/>
        </w:rPr>
        <w:t xml:space="preserve">Inform. Systems Res.</w:t>
      </w:r>
      <w:r>
        <w:t xml:space="preserve"> </w:t>
      </w:r>
      <w:r>
        <w:t xml:space="preserve">21(4):724–735.</w:t>
      </w:r>
    </w:p>
    <w:bookmarkEnd w:id="41"/>
    <w:bookmarkStart w:id="42" w:name="appendix-a.-proofs"/>
    <w:p>
      <w:pPr>
        <w:pStyle w:val="Heading2"/>
      </w:pPr>
      <w:r>
        <w:t xml:space="preserve">Appendix A. Proofs</w:t>
      </w:r>
    </w:p>
    <w:p>
      <w:pPr>
        <w:pStyle w:val="FirstParagraph"/>
      </w:pPr>
      <w:r>
        <w:rPr>
          <w:bCs/>
          <w:b/>
        </w:rPr>
        <w:t xml:space="preserve">Proof of Proposition 1.</w:t>
      </w:r>
      <w:r>
        <w:t xml:space="preserve"> </w:t>
      </w:r>
      <w:r>
        <w:t xml:space="preserve">In the continuation region the option satisfies the Bellman equation</w:t>
      </w:r>
      <w:r>
        <w:t xml:space="preserve"> </w:t>
      </w:r>
      <m:oMath>
        <m:r>
          <m:t>ρ</m:t>
        </m:r>
        <m:r>
          <m:t>F</m:t>
        </m:r>
        <m:r>
          <m:rPr>
            <m:sty m:val="p"/>
          </m:rPr>
          <m:t>=</m:t>
        </m:r>
        <m:r>
          <m:t>g</m:t>
        </m:r>
        <m:r>
          <m:t>v</m:t>
        </m:r>
        <m:r>
          <m:t>F</m:t>
        </m:r>
        <m:r>
          <m:rPr>
            <m:sty m:val="p"/>
          </m:rPr>
          <m:t>′</m:t>
        </m:r>
        <m:r>
          <m:rPr>
            <m:sty m:val="p"/>
          </m:rPr>
          <m:t>+</m:t>
        </m:r>
        <m:f>
          <m:fPr>
            <m:type m:val="lin"/>
          </m:fPr>
          <m:num>
            <m:r>
              <m:t>1</m:t>
            </m:r>
          </m:num>
          <m:den>
            <m:r>
              <m:t>2</m:t>
            </m:r>
          </m:den>
        </m:f>
        <m:sSup>
          <m:e>
            <m:r>
              <m:t>σ</m:t>
            </m:r>
          </m:e>
          <m:sup>
            <m:r>
              <m:t>2</m:t>
            </m:r>
          </m:sup>
        </m:sSup>
        <m:sSup>
          <m:e>
            <m:r>
              <m:t>v</m:t>
            </m:r>
          </m:e>
          <m:sup>
            <m:r>
              <m:t>2</m:t>
            </m:r>
          </m:sup>
        </m:sSup>
        <m:r>
          <m:t>F</m:t>
        </m:r>
        <m:r>
          <m:rPr>
            <m:sty m:val="p"/>
          </m:rPr>
          <m:t>″</m:t>
        </m:r>
        <m:r>
          <m:rPr>
            <m:sty m:val="p"/>
          </m:rPr>
          <m:t>+</m:t>
        </m:r>
        <m:r>
          <m:t>μ</m:t>
        </m:r>
        <m:d>
          <m:dPr>
            <m:begChr m:val="("/>
            <m:endChr m:val=")"/>
            <m:sepChr m:val=""/>
            <m:grow/>
          </m:dPr>
          <m:e>
            <m:r>
              <m:t>0</m:t>
            </m:r>
            <m:r>
              <m:rPr>
                <m:sty m:val="p"/>
              </m:rPr>
              <m:t>−</m:t>
            </m:r>
            <m:r>
              <m:t>F</m:t>
            </m:r>
          </m:e>
        </m:d>
      </m:oMath>
      <w:r>
        <w:t xml:space="preserve">. The Euler equation is</w:t>
      </w:r>
      <w:r>
        <w:t xml:space="preserve"> </w:t>
      </w:r>
      <m:oMath>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Of the two roots, the negative root is discarded by</w:t>
      </w:r>
      <w:r>
        <w:t xml:space="preserve"> </w:t>
      </w:r>
      <m:oMath>
        <m:r>
          <m:t>F</m:t>
        </m:r>
        <m:d>
          <m:dPr>
            <m:begChr m:val="("/>
            <m:endChr m:val=")"/>
            <m:sepChr m:val=""/>
            <m:grow/>
          </m:dPr>
          <m:e>
            <m:r>
              <m:t>0</m:t>
            </m:r>
          </m:e>
        </m:d>
        <m:r>
          <m:rPr>
            <m:sty m:val="p"/>
          </m:rPr>
          <m:t>=</m:t>
        </m:r>
        <m:r>
          <m:t>0</m:t>
        </m:r>
      </m:oMath>
      <w:r>
        <w:t xml:space="preserve">. Value matching</w:t>
      </w:r>
      <w:r>
        <w:t xml:space="preserve"> </w:t>
      </w:r>
      <m:oMath>
        <m:r>
          <m:t>F</m:t>
        </m:r>
        <m:d>
          <m:dPr>
            <m:begChr m:val="("/>
            <m:endChr m:val=")"/>
            <m:sepChr m:val=""/>
            <m:grow/>
          </m:dPr>
          <m:e>
            <m:sSup>
              <m:e>
                <m:r>
                  <m:t>v</m:t>
                </m:r>
              </m:e>
              <m:sup>
                <m:r>
                  <m:rPr>
                    <m:sty m:val="p"/>
                  </m:rPr>
                  <m:t>*</m:t>
                </m:r>
              </m:sup>
            </m:sSup>
          </m:e>
        </m:d>
        <m:r>
          <m:rPr>
            <m:sty m:val="p"/>
          </m:rPr>
          <m:t>=</m:t>
        </m:r>
        <m:r>
          <m:t>k</m:t>
        </m:r>
        <m:sSup>
          <m:e>
            <m:r>
              <m:t>v</m:t>
            </m:r>
          </m:e>
          <m:sup>
            <m:r>
              <m:rPr>
                <m:sty m:val="p"/>
              </m:rPr>
              <m:t>*</m:t>
            </m:r>
          </m:sup>
        </m:sSup>
        <m:r>
          <m:rPr>
            <m:sty m:val="p"/>
          </m:rPr>
          <m:t>−</m:t>
        </m:r>
        <m:sSub>
          <m:e>
            <m:r>
              <m:t>C</m:t>
            </m:r>
          </m:e>
          <m:sub>
            <m:r>
              <m:t>N</m:t>
            </m:r>
          </m:sub>
        </m:sSub>
      </m:oMath>
      <w:r>
        <w:t xml:space="preserve"> </w:t>
      </w:r>
      <w:r>
        <w:t xml:space="preserve">and smooth pasting</w:t>
      </w:r>
      <w:r>
        <w:t xml:space="preserve"> </w:t>
      </w:r>
      <m:oMath>
        <m:r>
          <m:t>F</m:t>
        </m:r>
        <m:r>
          <m:rPr>
            <m:sty m:val="p"/>
          </m:rPr>
          <m:t>′</m:t>
        </m:r>
        <m:d>
          <m:dPr>
            <m:begChr m:val="("/>
            <m:endChr m:val=")"/>
            <m:sepChr m:val=""/>
            <m:grow/>
          </m:dPr>
          <m:e>
            <m:sSup>
              <m:e>
                <m:r>
                  <m:t>v</m:t>
                </m:r>
              </m:e>
              <m:sup>
                <m:r>
                  <m:rPr>
                    <m:sty m:val="p"/>
                  </m:rPr>
                  <m:t>*</m:t>
                </m:r>
              </m:sup>
            </m:sSup>
          </m:e>
        </m:d>
        <m:r>
          <m:rPr>
            <m:sty m:val="p"/>
          </m:rPr>
          <m:t>=</m:t>
        </m:r>
        <m:r>
          <m:t>k</m:t>
        </m:r>
      </m:oMath>
      <w:r>
        <w:t xml:space="preserve"> </w:t>
      </w:r>
      <w:r>
        <w:t xml:space="preserve">with</w:t>
      </w:r>
      <w:r>
        <w:t xml:space="preserve"> </w:t>
      </w:r>
      <m:oMath>
        <m:r>
          <m:t>F</m:t>
        </m:r>
        <m:r>
          <m:rPr>
            <m:sty m:val="p"/>
          </m:rPr>
          <m:t>=</m:t>
        </m:r>
        <m:r>
          <m:t>A</m:t>
        </m:r>
        <m:sSup>
          <m:e>
            <m:r>
              <m:t>v</m:t>
            </m:r>
          </m:e>
          <m:sup>
            <m:r>
              <m:t>β</m:t>
            </m:r>
          </m:sup>
        </m:sSup>
      </m:oMath>
      <w:r>
        <w:t xml:space="preserve"> </w:t>
      </w:r>
      <w:r>
        <w:t xml:space="preserve">yield</w:t>
      </w:r>
    </w:p>
    <w:p>
      <w:pPr>
        <w:pStyle w:val="BodyText"/>
      </w:pPr>
      <m:oMathPara>
        <m:oMathParaPr>
          <m:jc m:val="center"/>
        </m:oMathParaPr>
        <m:oMath>
          <m:r>
            <m:t>A</m:t>
          </m:r>
          <m:sSup>
            <m:e>
              <m:d>
                <m:dPr>
                  <m:begChr m:val="("/>
                  <m:endChr m:val=")"/>
                  <m:sepChr m:val=""/>
                  <m:grow/>
                </m:dPr>
                <m:e>
                  <m:sSup>
                    <m:e>
                      <m:r>
                        <m:t>v</m:t>
                      </m:r>
                    </m:e>
                    <m:sup>
                      <m:r>
                        <m:rPr>
                          <m:sty m:val="p"/>
                        </m:rPr>
                        <m:t>*</m:t>
                      </m:r>
                    </m:sup>
                  </m:sSup>
                </m:e>
              </m:d>
            </m:e>
            <m:sup>
              <m:r>
                <m:t>β</m:t>
              </m:r>
            </m:sup>
          </m:sSup>
          <m:r>
            <m:rPr>
              <m:sty m:val="p"/>
            </m:rPr>
            <m:t>=</m:t>
          </m:r>
          <m:r>
            <m:t>k</m:t>
          </m:r>
          <m:sSup>
            <m:e>
              <m:r>
                <m:t>v</m:t>
              </m:r>
            </m:e>
            <m:sup>
              <m:r>
                <m:rPr>
                  <m:sty m:val="p"/>
                </m:rPr>
                <m:t>*</m:t>
              </m:r>
            </m:sup>
          </m:sSup>
          <m:r>
            <m:rPr>
              <m:sty m:val="p"/>
            </m:rPr>
            <m:t>−</m:t>
          </m:r>
          <m:sSub>
            <m:e>
              <m:r>
                <m:t>C</m:t>
              </m:r>
            </m:e>
            <m:sub>
              <m:r>
                <m:t>N</m:t>
              </m:r>
            </m:sub>
          </m:sSub>
          <m:r>
            <m:rPr>
              <m:sty m:val="p"/>
            </m:rPr>
            <m:t>,</m:t>
          </m:r>
          <m:r>
            <m:t>  </m:t>
          </m:r>
          <m:r>
            <m:t>A</m:t>
          </m:r>
          <m:r>
            <m:t>β</m:t>
          </m:r>
          <m:sSup>
            <m:e>
              <m:d>
                <m:dPr>
                  <m:begChr m:val="("/>
                  <m:endChr m:val=")"/>
                  <m:sepChr m:val=""/>
                  <m:grow/>
                </m:dPr>
                <m:e>
                  <m:sSup>
                    <m:e>
                      <m:r>
                        <m:t>v</m:t>
                      </m:r>
                    </m:e>
                    <m:sup>
                      <m:r>
                        <m:rPr>
                          <m:sty m:val="p"/>
                        </m:rPr>
                        <m:t>*</m:t>
                      </m:r>
                    </m:sup>
                  </m:sSup>
                </m:e>
              </m:d>
            </m:e>
            <m:sup>
              <m:r>
                <m:t>β</m:t>
              </m:r>
              <m:r>
                <m:rPr>
                  <m:sty m:val="p"/>
                </m:rPr>
                <m:t>−</m:t>
              </m:r>
              <m:r>
                <m:t>1</m:t>
              </m:r>
            </m:sup>
          </m:sSup>
          <m:r>
            <m:rPr>
              <m:sty m:val="p"/>
            </m:rPr>
            <m:t>=</m:t>
          </m:r>
          <m:r>
            <m:t>k</m:t>
          </m:r>
          <m:r>
            <m:rPr>
              <m:sty m:val="p"/>
            </m:rPr>
            <m:t>,</m:t>
          </m:r>
        </m:oMath>
      </m:oMathPara>
    </w:p>
    <w:p>
      <w:pPr>
        <w:pStyle w:val="FirstParagraph"/>
      </w:pPr>
      <w:r>
        <w:t xml:space="preserve">hence</w:t>
      </w:r>
      <w:r>
        <w:t xml:space="preserve"> </w:t>
      </w:r>
      <m:oMath>
        <m:sSup>
          <m:e>
            <m:r>
              <m:t>v</m:t>
            </m:r>
          </m:e>
          <m:sup>
            <m:r>
              <m:rPr>
                <m:sty m:val="p"/>
              </m:rPr>
              <m:t>*</m:t>
            </m:r>
          </m:sup>
        </m:sSup>
        <m:r>
          <m:rPr>
            <m:sty m:val="p"/>
          </m:rPr>
          <m:t>=</m:t>
        </m:r>
        <m:d>
          <m:dPr>
            <m:begChr m:val="["/>
            <m:endChr m:val="]"/>
            <m:sepChr m:val=""/>
            <m:grow/>
          </m:dPr>
          <m:e>
            <m:r>
              <m:t>β</m:t>
            </m:r>
            <m:r>
              <m:rPr>
                <m:sty m:val="p"/>
              </m:rPr>
              <m:t>/</m:t>
            </m:r>
            <m:d>
              <m:dPr>
                <m:begChr m:val="("/>
                <m:endChr m:val=")"/>
                <m:sepChr m:val=""/>
                <m:grow/>
              </m:dPr>
              <m:e>
                <m:r>
                  <m:t>β</m:t>
                </m:r>
                <m:r>
                  <m:rPr>
                    <m:sty m:val="p"/>
                  </m:rPr>
                  <m:t>−</m:t>
                </m:r>
                <m:r>
                  <m:t>1</m:t>
                </m:r>
              </m:e>
            </m:d>
          </m:e>
        </m:d>
        <m:r>
          <m:t> </m:t>
        </m:r>
        <m:sSub>
          <m:e>
            <m:r>
              <m:t>C</m:t>
            </m:r>
          </m:e>
          <m:sub>
            <m:r>
              <m:t>N</m:t>
            </m:r>
          </m:sub>
        </m:sSub>
        <m:r>
          <m:rPr>
            <m:sty m:val="p"/>
          </m:rPr>
          <m:t>/</m:t>
        </m:r>
        <m:r>
          <m:t>k</m:t>
        </m:r>
      </m:oMath>
      <w:r>
        <w:t xml:space="preserve">. The quadratic identity</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t>
      </w:r>
      <w:r>
        <w:t xml:space="preserve">gives the equivalent writing in terms of</w:t>
      </w:r>
      <w:r>
        <w:t xml:space="preserve"> </w:t>
      </w:r>
      <m:oMath>
        <m:r>
          <m:t>ρ</m:t>
        </m:r>
        <m:r>
          <m:rPr>
            <m:sty m:val="p"/>
          </m:rPr>
          <m:t>+</m:t>
        </m:r>
        <m:r>
          <m:t>μ</m:t>
        </m:r>
        <m:r>
          <m:rPr>
            <m:sty m:val="p"/>
          </m:rPr>
          <m:t>−</m:t>
        </m:r>
        <m:r>
          <m:t>g</m:t>
        </m:r>
      </m:oMath>
      <w:r>
        <w:t xml:space="preserve">.</w:t>
      </w:r>
      <w:r>
        <w:t xml:space="preserve"> </w:t>
      </w:r>
      <m:oMath>
        <m:r>
          <m:rPr>
            <m:sty m:val="p"/>
          </m:rPr>
          <m:t>▫</m:t>
        </m:r>
      </m:oMath>
    </w:p>
    <w:p>
      <w:pPr>
        <w:pStyle w:val="BodyText"/>
      </w:pPr>
      <w:r>
        <w:rPr>
          <w:bCs/>
          <w:b/>
        </w:rPr>
        <w:t xml:space="preserve">Proof of Proposition 2.</w:t>
      </w:r>
      <w:r>
        <w:t xml:space="preserve"> </w:t>
      </w:r>
      <w:r>
        <w:t xml:space="preserve">Since</w:t>
      </w:r>
      <w:r>
        <w:t xml:space="preserve"> </w:t>
      </w:r>
      <m:oMath>
        <m:sSup>
          <m:e>
            <m:r>
              <m:t>v</m:t>
            </m:r>
          </m:e>
          <m:sup>
            <m:r>
              <m:rPr>
                <m:sty m:val="p"/>
              </m:rPr>
              <m:t>*</m:t>
            </m:r>
          </m:sup>
        </m:sSup>
        <m:r>
          <m:rPr>
            <m:sty m:val="p"/>
          </m:rPr>
          <m:t>=</m:t>
        </m:r>
        <m:r>
          <m:t>h</m:t>
        </m:r>
        <m:d>
          <m:dPr>
            <m:begChr m:val="("/>
            <m:endChr m:val=")"/>
            <m:sepChr m:val=""/>
            <m:grow/>
          </m:dPr>
          <m:e>
            <m:r>
              <m:t>K</m:t>
            </m:r>
          </m:e>
        </m:d>
        <m:r>
          <m:t> </m:t>
        </m:r>
        <m:sSub>
          <m:e>
            <m:r>
              <m:t>C</m:t>
            </m:r>
          </m:e>
          <m:sub>
            <m:r>
              <m:t>N</m:t>
            </m:r>
          </m:sub>
        </m:sSub>
        <m:r>
          <m:rPr>
            <m:sty m:val="p"/>
          </m:rPr>
          <m:t>/</m:t>
        </m:r>
        <m:d>
          <m:dPr>
            <m:begChr m:val="("/>
            <m:endChr m:val=")"/>
            <m:sepChr m:val=""/>
            <m:grow/>
          </m:dPr>
          <m:e>
            <m:r>
              <m:t>1</m:t>
            </m:r>
            <m:r>
              <m:rPr>
                <m:sty m:val="p"/>
              </m:rPr>
              <m:t>−</m:t>
            </m:r>
            <m:r>
              <m:t>R</m:t>
            </m:r>
          </m:e>
        </m:d>
      </m:oMath>
      <w:r>
        <w:t xml:space="preserve"> </w:t>
      </w:r>
      <w:r>
        <w:t xml:space="preserve">with</w:t>
      </w:r>
      <w:r>
        <w:t xml:space="preserve"> </w:t>
      </w:r>
      <m:oMath>
        <m:r>
          <m:t>K</m:t>
        </m:r>
        <m:r>
          <m:rPr>
            <m:sty m:val="p"/>
          </m:rPr>
          <m:t>=</m:t>
        </m:r>
        <m:r>
          <m:t>ρ</m:t>
        </m:r>
        <m:r>
          <m:rPr>
            <m:sty m:val="p"/>
          </m:rPr>
          <m:t>+</m:t>
        </m:r>
        <m:r>
          <m:t>μ</m:t>
        </m:r>
      </m:oMath>
      <w:r>
        <w:t xml:space="preserve"> </w:t>
      </w:r>
      <w:r>
        <w:t xml:space="preserve">and</w:t>
      </w:r>
      <w:r>
        <w:t xml:space="preserve"> </w:t>
      </w:r>
      <m:oMath>
        <m:r>
          <m:t>h</m:t>
        </m:r>
        <m:d>
          <m:dPr>
            <m:begChr m:val="("/>
            <m:endChr m:val=")"/>
            <m:sepChr m:val=""/>
            <m:grow/>
          </m:dPr>
          <m:e>
            <m:r>
              <m:t>K</m:t>
            </m:r>
          </m:e>
        </m:d>
        <m:r>
          <m:rPr>
            <m:sty m:val="p"/>
          </m:rPr>
          <m:t>=</m:t>
        </m:r>
        <m:d>
          <m:dPr>
            <m:begChr m:val="("/>
            <m:endChr m:val=")"/>
            <m:sepChr m:val=""/>
            <m:grow/>
          </m:dPr>
          <m:e>
            <m:r>
              <m:t>K</m:t>
            </m:r>
            <m:r>
              <m:rPr>
                <m:sty m:val="p"/>
              </m:rPr>
              <m:t>−</m:t>
            </m:r>
            <m:r>
              <m:t>g</m:t>
            </m:r>
          </m:e>
        </m:d>
        <m:r>
          <m:t>β</m:t>
        </m:r>
        <m:r>
          <m:rPr>
            <m:sty m:val="p"/>
          </m:rPr>
          <m:t>/</m:t>
        </m:r>
        <m:d>
          <m:dPr>
            <m:begChr m:val="("/>
            <m:endChr m:val=")"/>
            <m:sepChr m:val=""/>
            <m:grow/>
          </m:dPr>
          <m:e>
            <m:r>
              <m:t>β</m:t>
            </m:r>
            <m:r>
              <m:rPr>
                <m:sty m:val="p"/>
              </m:rPr>
              <m:t>−</m:t>
            </m:r>
            <m:r>
              <m:t>1</m:t>
            </m:r>
          </m:e>
        </m:d>
      </m:oMath>
      <w:r>
        <w:t xml:space="preserve">: (i)</w:t>
      </w:r>
      <w:r>
        <w:t xml:space="preserve"> </w:t>
      </w:r>
      <m:oMath>
        <m:sSup>
          <m:e>
            <m:r>
              <m:t>v</m:t>
            </m:r>
          </m:e>
          <m:sup>
            <m:r>
              <m:rPr>
                <m:sty m:val="p"/>
              </m:rPr>
              <m:t>*</m:t>
            </m:r>
          </m:sup>
        </m:sSup>
      </m:oMath>
      <w:r>
        <w:t xml:space="preserve"> </w:t>
      </w:r>
      <w:r>
        <w:t xml:space="preserve">is proportional to</w:t>
      </w:r>
      <w:r>
        <w:t xml:space="preserve"> </w:t>
      </w:r>
      <m:oMath>
        <m:r>
          <m:t>1</m:t>
        </m:r>
        <m:r>
          <m:rPr>
            <m:sty m:val="p"/>
          </m:rPr>
          <m:t>/</m:t>
        </m:r>
        <m:d>
          <m:dPr>
            <m:begChr m:val="("/>
            <m:endChr m:val=")"/>
            <m:sepChr m:val=""/>
            <m:grow/>
          </m:dPr>
          <m:e>
            <m:r>
              <m:t>1</m:t>
            </m:r>
            <m:r>
              <m:rPr>
                <m:sty m:val="p"/>
              </m:rPr>
              <m:t>−</m:t>
            </m:r>
            <m:r>
              <m:t>R</m:t>
            </m:r>
          </m:e>
        </m:d>
      </m:oMath>
      <w:r>
        <w:t xml:space="preserve">, hence increasing in</w:t>
      </w:r>
      <w:r>
        <w:t xml:space="preserve"> </w:t>
      </w:r>
      <m:oMath>
        <m:r>
          <m:t>R</m:t>
        </m:r>
      </m:oMath>
      <w:r>
        <w:t xml:space="preserve">. (ii) By the implicit function theorem</w:t>
      </w:r>
      <w:r>
        <w:t xml:space="preserve"> </w:t>
      </w:r>
      <m:oMath>
        <m:r>
          <m:t>β</m:t>
        </m:r>
        <m:r>
          <m:rPr>
            <m:sty m:val="p"/>
          </m:rPr>
          <m:t>′</m:t>
        </m:r>
        <m:d>
          <m:dPr>
            <m:begChr m:val="("/>
            <m:endChr m:val=")"/>
            <m:sepChr m:val=""/>
            <m:grow/>
          </m:dPr>
          <m:e>
            <m:r>
              <m:t>K</m:t>
            </m:r>
          </m:e>
        </m:d>
        <m:r>
          <m:rPr>
            <m:sty m:val="p"/>
          </m:rPr>
          <m:t>=</m:t>
        </m:r>
        <m:r>
          <m:t>1</m:t>
        </m:r>
        <m:r>
          <m:rPr>
            <m:sty m:val="p"/>
          </m:rPr>
          <m:t>/</m:t>
        </m:r>
        <m:r>
          <m:t>Q</m:t>
        </m:r>
        <m:r>
          <m:rPr>
            <m:sty m:val="p"/>
          </m:rPr>
          <m:t>′</m:t>
        </m:r>
        <m:d>
          <m:dPr>
            <m:begChr m:val="("/>
            <m:endChr m:val=")"/>
            <m:sepChr m:val=""/>
            <m:grow/>
          </m:dPr>
          <m:e>
            <m:r>
              <m:t>β</m:t>
            </m:r>
          </m:e>
        </m:d>
      </m:oMath>
      <w:r>
        <w:t xml:space="preserve"> </w:t>
      </w:r>
      <w:r>
        <w:t xml:space="preserve">with</w:t>
      </w:r>
      <w:r>
        <w:t xml:space="preserve"> </w:t>
      </w:r>
      <m:oMath>
        <m:r>
          <m:t>Q</m:t>
        </m:r>
        <m:r>
          <m:rPr>
            <m:sty m:val="p"/>
          </m:rPr>
          <m:t>′</m:t>
        </m:r>
        <m:d>
          <m:dPr>
            <m:begChr m:val="("/>
            <m:endChr m:val=")"/>
            <m:sepChr m:val=""/>
            <m:grow/>
          </m:dPr>
          <m:e>
            <m:r>
              <m:t>β</m:t>
            </m:r>
          </m:e>
        </m:d>
        <m:r>
          <m:rPr>
            <m:sty m:val="p"/>
          </m:rPr>
          <m:t>=</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f>
          <m:fPr>
            <m:type m:val="lin"/>
          </m:fPr>
          <m:num>
            <m:r>
              <m:t>1</m:t>
            </m:r>
          </m:num>
          <m:den>
            <m:r>
              <m:t>2</m:t>
            </m:r>
          </m:den>
        </m:f>
        <m:sSup>
          <m:e>
            <m:r>
              <m:t>σ</m:t>
            </m:r>
          </m:e>
          <m:sup>
            <m:r>
              <m:t>2</m:t>
            </m:r>
          </m:sup>
        </m:sSup>
        <m:d>
          <m:dPr>
            <m:begChr m:val="("/>
            <m:endChr m:val=")"/>
            <m:sepChr m:val=""/>
            <m:grow/>
          </m:dPr>
          <m:e>
            <m:r>
              <m:t>β</m:t>
            </m:r>
            <m:r>
              <m:rPr>
                <m:sty m:val="p"/>
              </m:rPr>
              <m:t>−</m:t>
            </m:r>
            <m:r>
              <m:t>1</m:t>
            </m:r>
          </m:e>
        </m:d>
        <m:r>
          <m:rPr>
            <m:sty m:val="p"/>
          </m:rPr>
          <m:t>&gt;</m:t>
        </m:r>
        <m:r>
          <m:t>0</m:t>
        </m:r>
      </m:oMath>
      <w:r>
        <w:t xml:space="preserve">. Substituting</w:t>
      </w:r>
      <w:r>
        <w:t xml:space="preserve"> </w:t>
      </w:r>
      <m:oMath>
        <m:r>
          <m:t>K</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t>
      </w:r>
      <w:r>
        <w:t xml:space="preserve">shows</w:t>
      </w:r>
      <w:r>
        <w:t xml:space="preserve"> </w:t>
      </w:r>
      <m:oMath>
        <m:r>
          <m:t>h</m:t>
        </m:r>
        <m:r>
          <m:rPr>
            <m:sty m:val="p"/>
          </m:rPr>
          <m:t>′</m:t>
        </m:r>
        <m:d>
          <m:dPr>
            <m:begChr m:val="("/>
            <m:endChr m:val=")"/>
            <m:sepChr m:val=""/>
            <m:grow/>
          </m:dPr>
          <m:e>
            <m:r>
              <m:t>K</m:t>
            </m:r>
          </m:e>
        </m:d>
        <m:r>
          <m:rPr>
            <m:sty m:val="p"/>
          </m:rPr>
          <m:t>&gt;</m:t>
        </m:r>
        <m:r>
          <m:t>0</m:t>
        </m:r>
      </m:oMath>
      <w:r>
        <w:t xml:space="preserve">, so</w:t>
      </w:r>
      <w:r>
        <w:t xml:space="preserve"> </w:t>
      </w:r>
      <m:oMath>
        <m:sSup>
          <m:e>
            <m:r>
              <m:t>v</m:t>
            </m:r>
          </m:e>
          <m:sup>
            <m:r>
              <m:rPr>
                <m:sty m:val="p"/>
              </m:rPr>
              <m:t>*</m:t>
            </m:r>
          </m:sup>
        </m:sSup>
      </m:oMath>
      <w:r>
        <w:t xml:space="preserve"> </w:t>
      </w:r>
      <w:r>
        <w:t xml:space="preserve">is increasing in</w:t>
      </w:r>
      <w:r>
        <w:t xml:space="preserve"> </w:t>
      </w:r>
      <m:oMath>
        <m:r>
          <m:t>μ</m:t>
        </m:r>
      </m:oMath>
      <w:r>
        <w:t xml:space="preserve">. (iii) At any fixed</w:t>
      </w:r>
      <w:r>
        <w:t xml:space="preserve"> </w:t>
      </w:r>
      <m:oMath>
        <m:r>
          <m:t>β</m:t>
        </m:r>
        <m:r>
          <m:rPr>
            <m:sty m:val="p"/>
          </m:rPr>
          <m:t>&gt;</m:t>
        </m:r>
        <m:r>
          <m:t>1</m:t>
        </m:r>
      </m:oMath>
      <w:r>
        <w:t xml:space="preserve">,</w:t>
      </w:r>
      <w:r>
        <w:t xml:space="preserve"> </w:t>
      </w:r>
      <m:oMath>
        <m:r>
          <m:t>Q</m:t>
        </m:r>
      </m:oMath>
      <w:r>
        <w:t xml:space="preserve"> </w:t>
      </w:r>
      <w:r>
        <w:t xml:space="preserve">is increasing in</w:t>
      </w:r>
      <w:r>
        <w:t xml:space="preserve"> </w:t>
      </w:r>
      <m:oMath>
        <m:r>
          <m:t>σ</m:t>
        </m:r>
      </m:oMath>
      <w:r>
        <w:t xml:space="preserve"> </w:t>
      </w:r>
      <w:r>
        <w:t xml:space="preserve">and</w:t>
      </w:r>
      <w:r>
        <w:t xml:space="preserve"> </w:t>
      </w:r>
      <m:oMath>
        <m:r>
          <m:t>Q</m:t>
        </m:r>
        <m:r>
          <m:rPr>
            <m:sty m:val="p"/>
          </m:rPr>
          <m:t>′</m:t>
        </m:r>
        <m:r>
          <m:rPr>
            <m:sty m:val="p"/>
          </m:rPr>
          <m:t>&gt;</m:t>
        </m:r>
        <m:r>
          <m:t>0</m:t>
        </m:r>
      </m:oMath>
      <w:r>
        <w:t xml:space="preserve"> </w:t>
      </w:r>
      <w:r>
        <w:t xml:space="preserve">at the root, so</w:t>
      </w:r>
      <w:r>
        <w:t xml:space="preserve"> </w:t>
      </w:r>
      <m:oMath>
        <m:r>
          <m:t>β</m:t>
        </m:r>
      </m:oMath>
      <w:r>
        <w:t xml:space="preserve"> </w:t>
      </w:r>
      <w:r>
        <w:t xml:space="preserve">is decreasing in</w:t>
      </w:r>
      <w:r>
        <w:t xml:space="preserve"> </w:t>
      </w:r>
      <m:oMath>
        <m:r>
          <m:t>σ</m:t>
        </m:r>
      </m:oMath>
      <w:r>
        <w:t xml:space="preserve">. Since</w:t>
      </w:r>
      <w:r>
        <w:t xml:space="preserve"> </w:t>
      </w:r>
      <m:oMath>
        <m:r>
          <m:t>β</m:t>
        </m:r>
        <m:r>
          <m:rPr>
            <m:sty m:val="p"/>
          </m:rPr>
          <m:t>/</m:t>
        </m:r>
        <m:d>
          <m:dPr>
            <m:begChr m:val="("/>
            <m:endChr m:val=")"/>
            <m:sepChr m:val=""/>
            <m:grow/>
          </m:dPr>
          <m:e>
            <m:r>
              <m:t>β</m:t>
            </m:r>
            <m:r>
              <m:rPr>
                <m:sty m:val="p"/>
              </m:rPr>
              <m:t>−</m:t>
            </m:r>
            <m:r>
              <m:t>1</m:t>
            </m:r>
          </m:e>
        </m:d>
      </m:oMath>
      <w:r>
        <w:t xml:space="preserve"> </w:t>
      </w:r>
      <w:r>
        <w:t xml:space="preserve">is decreasing in</w:t>
      </w:r>
      <w:r>
        <w:t xml:space="preserve"> </w:t>
      </w:r>
      <m:oMath>
        <m:r>
          <m:t>β</m:t>
        </m:r>
      </m:oMath>
      <w:r>
        <w:t xml:space="preserve">, the threshold increases in</w:t>
      </w:r>
      <w:r>
        <w:t xml:space="preserve"> </w:t>
      </w:r>
      <m:oMath>
        <m:r>
          <m:t>σ</m:t>
        </m:r>
      </m:oMath>
      <w:r>
        <w:t xml:space="preserve">. (iv)</w:t>
      </w:r>
      <w:r>
        <w:t xml:space="preserve"> </w:t>
      </w:r>
      <m:oMath>
        <m:r>
          <m:t>β</m:t>
        </m:r>
        <m:r>
          <m:rPr>
            <m:sty m:val="p"/>
          </m:rPr>
          <m:t>/</m:t>
        </m:r>
        <m:d>
          <m:dPr>
            <m:begChr m:val="("/>
            <m:endChr m:val=")"/>
            <m:sepChr m:val=""/>
            <m:grow/>
          </m:dPr>
          <m:e>
            <m:r>
              <m:t>β</m:t>
            </m:r>
            <m:r>
              <m:rPr>
                <m:sty m:val="p"/>
              </m:rPr>
              <m:t>−</m:t>
            </m:r>
            <m:r>
              <m:t>1</m:t>
            </m:r>
          </m:e>
        </m:d>
        <m:r>
          <m:rPr>
            <m:sty m:val="p"/>
          </m:rPr>
          <m:t>&gt;</m:t>
        </m:r>
        <m:r>
          <m:t>1</m:t>
        </m:r>
      </m:oMath>
      <w:r>
        <w:t xml:space="preserve"> </w:t>
      </w:r>
      <w:r>
        <w:t xml:space="preserve">gives the strict excess over the NPV threshold.</w:t>
      </w:r>
      <w:r>
        <w:t xml:space="preserve"> </w:t>
      </w:r>
      <m:oMath>
        <m:r>
          <m:rPr>
            <m:sty m:val="p"/>
          </m:rPr>
          <m:t>▫</m:t>
        </m:r>
      </m:oMath>
    </w:p>
    <w:p>
      <w:pPr>
        <w:pStyle w:val="BodyText"/>
      </w:pPr>
      <w:r>
        <w:rPr>
          <w:bCs/>
          <w:b/>
        </w:rPr>
        <w:t xml:space="preserve">Proof of Proposition 3.</w:t>
      </w:r>
      <w:r>
        <w:t xml:space="preserve"> </w:t>
      </w:r>
      <w:r>
        <w:t xml:space="preserve">An option is worth at least its immediate exercise value, so</w:t>
      </w:r>
      <w:r>
        <w:t xml:space="preserve"> </w:t>
      </w:r>
      <m:oMath>
        <m:sSub>
          <m:e>
            <m:r>
              <m:t>F</m:t>
            </m:r>
          </m:e>
          <m:sub>
            <m:r>
              <m:t>C</m:t>
            </m:r>
          </m:sub>
        </m:sSub>
        <m:d>
          <m:dPr>
            <m:begChr m:val="("/>
            <m:endChr m:val=")"/>
            <m:sepChr m:val=""/>
            <m:grow/>
          </m:dPr>
          <m:e>
            <m:r>
              <m:t>v</m:t>
            </m:r>
          </m:e>
        </m:d>
        <m:r>
          <m:rPr>
            <m:sty m:val="p"/>
          </m:rPr>
          <m:t>≥</m:t>
        </m:r>
        <m:sSub>
          <m:e>
            <m:r>
              <m:t>k</m:t>
            </m:r>
          </m:e>
          <m:sub>
            <m:r>
              <m:t>C</m:t>
            </m:r>
          </m:sub>
        </m:sSub>
        <m:r>
          <m:t>v</m:t>
        </m:r>
        <m:r>
          <m:rPr>
            <m:sty m:val="p"/>
          </m:rPr>
          <m:t>−</m:t>
        </m:r>
        <m:sSub>
          <m:e>
            <m:r>
              <m:t>C</m:t>
            </m:r>
          </m:e>
          <m:sub>
            <m:r>
              <m:t>N</m:t>
            </m:r>
          </m:sub>
        </m:sSub>
      </m:oMath>
      <w:r>
        <w:t xml:space="preserve">, that is</w:t>
      </w:r>
      <w:r>
        <w:t xml:space="preserve"> </w:t>
      </w:r>
      <m:oMath>
        <m:sSub>
          <m:e>
            <m:r>
              <m:t>W</m:t>
            </m:r>
          </m:e>
          <m:sub>
            <m:r>
              <m:t>C</m:t>
            </m:r>
          </m:sub>
        </m:sSub>
        <m:d>
          <m:dPr>
            <m:begChr m:val="("/>
            <m:endChr m:val=")"/>
            <m:sepChr m:val=""/>
            <m:grow/>
          </m:dPr>
          <m:e>
            <m:r>
              <m:t>v</m:t>
            </m:r>
          </m:e>
        </m:d>
        <m:r>
          <m:rPr>
            <m:sty m:val="p"/>
          </m:rPr>
          <m:t>≤</m:t>
        </m:r>
        <m:sSub>
          <m:e>
            <m:r>
              <m:t>C</m:t>
            </m:r>
          </m:e>
          <m:sub>
            <m:r>
              <m:t>N</m:t>
            </m:r>
          </m:sub>
        </m:sSub>
      </m:oMath>
      <w:r>
        <w:t xml:space="preserve">. Equality holds only on</w:t>
      </w:r>
      <w:r>
        <w:t xml:space="preserve"> </w:t>
      </w:r>
      <m:oMath>
        <m:r>
          <m:t>v</m:t>
        </m:r>
        <m:r>
          <m:rPr>
            <m:sty m:val="p"/>
          </m:rPr>
          <m:t>≥</m:t>
        </m:r>
        <m:sSubSup>
          <m:e>
            <m:r>
              <m:t>v</m:t>
            </m:r>
          </m:e>
          <m:sub>
            <m:r>
              <m:t>C</m:t>
            </m:r>
          </m:sub>
          <m:sup>
            <m:r>
              <m:rPr>
                <m:sty m:val="p"/>
              </m:rPr>
              <m:t>*</m:t>
            </m:r>
          </m:sup>
        </m:sSubSup>
      </m:oMath>
      <w:r>
        <w:t xml:space="preserve">. Any</w:t>
      </w:r>
      <w:r>
        <w:t xml:space="preserve"> </w:t>
      </w:r>
      <m:oMath>
        <m:r>
          <m:t>v</m:t>
        </m:r>
      </m:oMath>
      <w:r>
        <w:t xml:space="preserve"> </w:t>
      </w:r>
      <w:r>
        <w:t xml:space="preserve">at which</w:t>
      </w:r>
      <w:r>
        <w:t xml:space="preserve"> </w:t>
      </w:r>
      <m:oMath>
        <m:r>
          <m:t>A</m:t>
        </m:r>
      </m:oMath>
      <w:r>
        <w:t xml:space="preserve"> </w:t>
      </w:r>
      <w:r>
        <w:t xml:space="preserve">is uniquely optimal must satisfy</w:t>
      </w:r>
      <w:r>
        <w:t xml:space="preserve"> </w:t>
      </w:r>
      <m:oMath>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Because</w:t>
      </w:r>
      <w:r>
        <w:t xml:space="preserve"> </w:t>
      </w:r>
      <m:oMath>
        <m:sSub>
          <m:e>
            <m:r>
              <m:t>W</m:t>
            </m:r>
          </m:e>
          <m:sub>
            <m:r>
              <m:t>A</m:t>
            </m:r>
          </m:sub>
        </m:sSub>
        <m:d>
          <m:dPr>
            <m:begChr m:val="("/>
            <m:endChr m:val=")"/>
            <m:sepChr m:val=""/>
            <m:grow/>
          </m:dPr>
          <m:e>
            <m:r>
              <m:t>v</m:t>
            </m:r>
          </m:e>
        </m:d>
        <m:r>
          <m:rPr>
            <m:sty m:val="p"/>
          </m:rPr>
          <m:t>=</m:t>
        </m:r>
        <m:sSub>
          <m:e>
            <m:r>
              <m:t>C</m:t>
            </m:r>
          </m:e>
          <m:sub>
            <m:r>
              <m:t>A</m:t>
            </m:r>
          </m:sub>
        </m:sSub>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the highest</w:t>
      </w:r>
      <w:r>
        <w:t xml:space="preserve"> </w:t>
      </w:r>
      <m:oMath>
        <m:sSub>
          <m:e>
            <m:r>
              <m:t>C</m:t>
            </m:r>
          </m:e>
          <m:sub>
            <m:r>
              <m:t>A</m:t>
            </m:r>
          </m:sub>
        </m:sSub>
      </m:oMath>
      <w:r>
        <w:t xml:space="preserve"> </w:t>
      </w:r>
      <w:r>
        <w:t xml:space="preserve">that can satisfy the inequality for some</w:t>
      </w:r>
      <w:r>
        <w:t xml:space="preserve"> </w:t>
      </w:r>
      <m:oMath>
        <m:r>
          <m:t>v</m:t>
        </m:r>
      </m:oMath>
      <w:r>
        <w:t xml:space="preserve"> </w:t>
      </w:r>
      <w:r>
        <w:t xml:space="preserve">is</w:t>
      </w:r>
    </w:p>
    <w:p>
      <w:pPr>
        <w:pStyle w:val="BodyText"/>
      </w:pPr>
      <m:oMathPara>
        <m:oMathParaPr>
          <m:jc m:val="center"/>
        </m:oMathParaPr>
        <m:oMath>
          <m:r>
            <m:t>Γ</m:t>
          </m:r>
          <m:r>
            <m:rPr>
              <m:sty m:val="p"/>
            </m:rPr>
            <m:t>=</m:t>
          </m:r>
          <m:limLow>
            <m:e>
              <m:r>
                <m:rPr>
                  <m:sty m:val="p"/>
                </m:rPr>
                <m:t>sup</m:t>
              </m:r>
            </m:e>
            <m:lim>
              <m:r>
                <m:t>v</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The optimizer cannot lie in</w:t>
      </w:r>
      <w:r>
        <w:t xml:space="preserve"> </w:t>
      </w:r>
      <m:oMath>
        <m:r>
          <m:t>v</m:t>
        </m:r>
        <m:r>
          <m:rPr>
            <m:sty m:val="p"/>
          </m:rPr>
          <m:t>≥</m:t>
        </m:r>
        <m:sSubSup>
          <m:e>
            <m:r>
              <m:t>v</m:t>
            </m:r>
          </m:e>
          <m:sub>
            <m:r>
              <m:t>C</m:t>
            </m:r>
          </m:sub>
          <m:sup>
            <m:r>
              <m:rPr>
                <m:sty m:val="p"/>
              </m:rPr>
              <m:t>*</m:t>
            </m:r>
          </m:sup>
        </m:sSubSup>
      </m:oMath>
      <w:r>
        <w:t xml:space="preserve">, where both copy and immediate retraining cost</w:t>
      </w:r>
      <w:r>
        <w:t xml:space="preserve"> </w:t>
      </w:r>
      <m:oMath>
        <m:sSub>
          <m:e>
            <m:r>
              <m:t>C</m:t>
            </m:r>
          </m:e>
          <m:sub>
            <m:r>
              <m:t>N</m:t>
            </m:r>
          </m:sub>
        </m:sSub>
      </m:oMath>
      <w:r>
        <w:t xml:space="preserve"> </w:t>
      </w:r>
      <w:r>
        <w:t xml:space="preserve">and</w:t>
      </w:r>
      <w:r>
        <w:t xml:space="preserve"> </w:t>
      </w:r>
      <m:oMath>
        <m:sSub>
          <m:e>
            <m:r>
              <m:t>W</m:t>
            </m:r>
          </m:e>
          <m:sub>
            <m:r>
              <m:t>A</m:t>
            </m:r>
          </m:sub>
        </m:sSub>
        <m:r>
          <m:rPr>
            <m:sty m:val="p"/>
          </m:rPr>
          <m:t>≥</m:t>
        </m:r>
        <m:sSub>
          <m:e>
            <m:r>
              <m:t>C</m:t>
            </m:r>
          </m:e>
          <m:sub>
            <m:r>
              <m:t>A</m:t>
            </m:r>
          </m:sub>
        </m:sSub>
      </m:oMath>
      <w:r>
        <w:t xml:space="preserve">, nor at</w:t>
      </w:r>
      <w:r>
        <w:t xml:space="preserve"> </w:t>
      </w:r>
      <m:oMath>
        <m:r>
          <m:t>v</m:t>
        </m:r>
        <m:r>
          <m:rPr>
            <m:sty m:val="p"/>
          </m:rPr>
          <m:t>=</m:t>
        </m:r>
        <m:r>
          <m:t>0</m:t>
        </m:r>
      </m:oMath>
      <w:r>
        <w:t xml:space="preserve">, where</w:t>
      </w:r>
      <w:r>
        <w:t xml:space="preserve"> </w:t>
      </w:r>
      <m:oMath>
        <m:sSub>
          <m:e>
            <m:r>
              <m:t>W</m:t>
            </m:r>
          </m:e>
          <m:sub>
            <m:r>
              <m:t>A</m:t>
            </m:r>
          </m:sub>
        </m:sSub>
        <m:r>
          <m:rPr>
            <m:sty m:val="p"/>
          </m:rPr>
          <m:t>=</m:t>
        </m:r>
        <m:sSub>
          <m:e>
            <m:r>
              <m:t>C</m:t>
            </m:r>
          </m:e>
          <m:sub>
            <m:r>
              <m:t>A</m:t>
            </m:r>
          </m:sub>
        </m:sSub>
        <m:r>
          <m:rPr>
            <m:sty m:val="p"/>
          </m:rPr>
          <m:t>&gt;</m:t>
        </m:r>
        <m:sSub>
          <m:e>
            <m:r>
              <m:t>W</m:t>
            </m:r>
          </m:e>
          <m:sub>
            <m:r>
              <m:t>C</m:t>
            </m:r>
          </m:sub>
        </m:sSub>
        <m:r>
          <m:rPr>
            <m:sty m:val="p"/>
          </m:rPr>
          <m:t>=</m:t>
        </m:r>
        <m:r>
          <m:t>0</m:t>
        </m:r>
      </m:oMath>
      <w:r>
        <w:t xml:space="preserve"> </w:t>
      </w:r>
      <w:r>
        <w:t xml:space="preserve">whenever</w:t>
      </w:r>
      <w:r>
        <w:t xml:space="preserve"> </w:t>
      </w:r>
      <m:oMath>
        <m:sSub>
          <m:e>
            <m:r>
              <m:t>C</m:t>
            </m:r>
          </m:e>
          <m:sub>
            <m:r>
              <m:t>A</m:t>
            </m:r>
          </m:sub>
        </m:sSub>
        <m:r>
          <m:rPr>
            <m:sty m:val="p"/>
          </m:rPr>
          <m:t>&gt;</m:t>
        </m:r>
        <m:r>
          <m:t>0</m:t>
        </m:r>
      </m:oMath>
      <w:r>
        <w:t xml:space="preserve">. Hence the</w:t>
      </w:r>
      <w:r>
        <w:t xml:space="preserve"> </w:t>
      </w:r>
      <m:oMath>
        <m:r>
          <m:t>A</m:t>
        </m:r>
      </m:oMath>
      <w:r>
        <w:t xml:space="preserve">-region, when nonempty, is intermediate.</w:t>
      </w:r>
      <w:r>
        <w:t xml:space="preserve"> </w:t>
      </w:r>
      <m:oMath>
        <m:r>
          <m:rPr>
            <m:sty m:val="p"/>
          </m:rPr>
          <m:t>▫</m:t>
        </m:r>
      </m:oMath>
    </w:p>
    <w:p>
      <w:pPr>
        <w:pStyle w:val="BodyText"/>
      </w:pPr>
      <w:r>
        <w:rPr>
          <w:bCs/>
          <w:b/>
        </w:rPr>
        <w:t xml:space="preserve">Proof of Proposition 4.</w:t>
      </w:r>
      <w:r>
        <w:t xml:space="preserve"> </w:t>
      </w:r>
      <w:r>
        <w:t xml:space="preserve">The owner’s first-order condition is</w:t>
      </w:r>
      <w:r>
        <w:t xml:space="preserve"> </w:t>
      </w:r>
      <m:oMath>
        <m:r>
          <m:t>ψ</m:t>
        </m:r>
        <m:r>
          <m:rPr>
            <m:sty m:val="p"/>
          </m:rPr>
          <m:t>−</m:t>
        </m:r>
        <m:r>
          <m:t>c</m:t>
        </m:r>
        <m:r>
          <m:t>μ</m:t>
        </m:r>
        <m:r>
          <m:rPr>
            <m:sty m:val="p"/>
          </m:rPr>
          <m:t>+</m:t>
        </m:r>
        <m:r>
          <m:t>θ</m:t>
        </m:r>
        <m:r>
          <m:t>n</m:t>
        </m:r>
        <m:d>
          <m:dPr>
            <m:begChr m:val="("/>
            <m:endChr m:val=")"/>
            <m:sepChr m:val=""/>
            <m:grow/>
          </m:dPr>
          <m:e>
            <m:r>
              <m:t>b</m:t>
            </m:r>
            <m:r>
              <m:rPr>
                <m:sty m:val="p"/>
              </m:rPr>
              <m:t>−</m:t>
            </m:r>
            <m:r>
              <m:rPr>
                <m:sty m:val="p"/>
              </m:rPr>
              <m:t>∂</m:t>
            </m:r>
            <m:r>
              <m:t>E</m:t>
            </m:r>
            <m:d>
              <m:dPr>
                <m:begChr m:val="["/>
                <m:endChr m:val="]"/>
                <m:sepChr m:val=""/>
                <m:grow/>
              </m:dPr>
              <m:e>
                <m:r>
                  <m:t>m</m:t>
                </m:r>
              </m:e>
            </m:d>
            <m:r>
              <m:rPr>
                <m:sty m:val="p"/>
              </m:rPr>
              <m:t>/</m:t>
            </m:r>
            <m:r>
              <m:rPr>
                <m:sty m:val="p"/>
              </m:rPr>
              <m:t>∂</m:t>
            </m:r>
            <m:r>
              <m:t>μ</m:t>
            </m:r>
          </m:e>
        </m:d>
        <m:r>
          <m:rPr>
            <m:sty m:val="p"/>
          </m:rPr>
          <m:t>=</m:t>
        </m:r>
        <m:r>
          <m:t>0</m:t>
        </m:r>
      </m:oMath>
      <w:r>
        <w:t xml:space="preserve">. At</w:t>
      </w:r>
      <w:r>
        <w:t xml:space="preserve"> </w:t>
      </w:r>
      <m:oMath>
        <m:acc>
          <m:accPr>
            <m:chr m:val="̂"/>
          </m:accPr>
          <m:e>
            <m:r>
              <m:t>v</m:t>
            </m:r>
          </m:e>
        </m:acc>
      </m:oMath>
      <w:r>
        <w:t xml:space="preserve"> </w:t>
      </w:r>
      <w:r>
        <w:t xml:space="preserve">the two instruments have equal burden, so the Leibniz term from moving</w:t>
      </w:r>
      <w:r>
        <w:t xml:space="preserve"> </w:t>
      </w:r>
      <m:oMath>
        <m:acc>
          <m:accPr>
            <m:chr m:val="̂"/>
          </m:accPr>
          <m:e>
            <m:r>
              <m:t>v</m:t>
            </m:r>
          </m:e>
        </m:acc>
      </m:oMath>
      <w:r>
        <w:t xml:space="preserve"> </w:t>
      </w:r>
      <w:r>
        <w:t xml:space="preserve">vanishes. Under the uniform law with</w:t>
      </w:r>
      <w:r>
        <w:t xml:space="preserve"> </w:t>
      </w:r>
      <m:oMath>
        <m:r>
          <m:t>κ</m:t>
        </m:r>
        <m:d>
          <m:dPr>
            <m:begChr m:val="("/>
            <m:endChr m:val=")"/>
            <m:sepChr m:val=""/>
            <m:grow/>
          </m:dPr>
          <m:e>
            <m:r>
              <m:t>ρ</m:t>
            </m:r>
            <m:r>
              <m:rPr>
                <m:sty m:val="p"/>
              </m:rPr>
              <m:t>+</m:t>
            </m:r>
            <m:r>
              <m:t>μ</m:t>
            </m:r>
          </m:e>
        </m:d>
        <m:r>
          <m:rPr>
            <m:sty m:val="p"/>
          </m:rPr>
          <m:t>≤</m:t>
        </m:r>
        <m:r>
          <m:t>1</m:t>
        </m:r>
      </m:oMath>
      <w:r>
        <w:t xml:space="preserve">,</w:t>
      </w:r>
    </w:p>
    <w:p>
      <w:pPr>
        <w:pStyle w:val="BodyText"/>
      </w:pPr>
      <m:oMathPara>
        <m:oMathParaPr>
          <m:jc m:val="center"/>
        </m:oMathParaPr>
        <m:oMath>
          <m:r>
            <m:t>E</m:t>
          </m:r>
          <m:d>
            <m:dPr>
              <m:begChr m:val="["/>
              <m:endChr m:val="]"/>
              <m:sepChr m:val=""/>
              <m:grow/>
            </m:dPr>
            <m:e>
              <m:r>
                <m:t>m</m:t>
              </m:r>
            </m:e>
          </m:d>
          <m:r>
            <m:rPr>
              <m:sty m:val="p"/>
            </m:rPr>
            <m:t>=</m:t>
          </m:r>
          <m:nary>
            <m:naryPr>
              <m:chr m:val="∫"/>
              <m:limLoc m:val="subSup"/>
              <m:subHide m:val="off"/>
              <m:supHide m:val="off"/>
            </m:naryPr>
            <m:sub>
              <m:r>
                <m:t>0</m:t>
              </m:r>
            </m:sub>
            <m:sup>
              <m:acc>
                <m:accPr>
                  <m:chr m:val="̂"/>
                </m:accPr>
                <m:e>
                  <m:r>
                    <m:t>v</m:t>
                  </m:r>
                </m:e>
              </m:acc>
            </m:sup>
            <m:e>
              <m:f>
                <m:fPr>
                  <m:type m:val="bar"/>
                </m:fPr>
                <m:num>
                  <m:d>
                    <m:dPr>
                      <m:begChr m:val="("/>
                      <m:endChr m:val=")"/>
                      <m:sepChr m:val=""/>
                      <m:grow/>
                    </m:dPr>
                    <m:e>
                      <m:r>
                        <m:t>1</m:t>
                      </m:r>
                      <m:r>
                        <m:rPr>
                          <m:sty m:val="p"/>
                        </m:rPr>
                        <m:t>−</m:t>
                      </m:r>
                      <m:r>
                        <m:t>R</m:t>
                      </m:r>
                    </m:e>
                  </m:d>
                  <m:r>
                    <m:t>v</m:t>
                  </m:r>
                  <m:r>
                    <m:t>μ</m:t>
                  </m:r>
                </m:num>
                <m:den>
                  <m:r>
                    <m:t>ρ</m:t>
                  </m:r>
                  <m:d>
                    <m:dPr>
                      <m:begChr m:val="("/>
                      <m:endChr m:val=")"/>
                      <m:sepChr m:val=""/>
                      <m:grow/>
                    </m:dPr>
                    <m:e>
                      <m:r>
                        <m:t>ρ</m:t>
                      </m:r>
                      <m:r>
                        <m:rPr>
                          <m:sty m:val="p"/>
                        </m:rPr>
                        <m:t>+</m:t>
                      </m:r>
                      <m:r>
                        <m:t>μ</m:t>
                      </m:r>
                    </m:e>
                  </m:d>
                </m:den>
              </m:f>
            </m:e>
          </m:nary>
          <m:f>
            <m:fPr>
              <m:type m:val="bar"/>
            </m:fPr>
            <m:num>
              <m:r>
                <m:t>d</m:t>
              </m:r>
              <m:r>
                <m:t>v</m:t>
              </m:r>
            </m:num>
            <m:den>
              <m:acc>
                <m:accPr>
                  <m:chr m:val="‾"/>
                </m:accPr>
                <m:e>
                  <m:r>
                    <m:t>v</m:t>
                  </m:r>
                </m:e>
              </m:acc>
            </m:den>
          </m:f>
          <m:r>
            <m:rPr>
              <m:sty m:val="p"/>
            </m:rPr>
            <m:t>+</m:t>
          </m:r>
          <m:nary>
            <m:naryPr>
              <m:chr m:val="∫"/>
              <m:limLoc m:val="subSup"/>
              <m:subHide m:val="off"/>
              <m:supHide m:val="off"/>
            </m:naryPr>
            <m:sub>
              <m:acc>
                <m:accPr>
                  <m:chr m:val="̂"/>
                </m:accPr>
                <m:e>
                  <m:r>
                    <m:t>v</m:t>
                  </m:r>
                </m:e>
              </m:acc>
            </m:sub>
            <m:sup>
              <m:acc>
                <m:accPr>
                  <m:chr m:val="‾"/>
                </m:accPr>
                <m:e>
                  <m:r>
                    <m:t>v</m:t>
                  </m:r>
                </m:e>
              </m:acc>
            </m:sup>
            <m:e>
              <m:f>
                <m:fPr>
                  <m:type m:val="bar"/>
                </m:fPr>
                <m:num>
                  <m:r>
                    <m:t>μ</m:t>
                  </m:r>
                  <m:sSub>
                    <m:e>
                      <m:r>
                        <m:t>C</m:t>
                      </m:r>
                    </m:e>
                    <m:sub>
                      <m:r>
                        <m:t>N</m:t>
                      </m:r>
                    </m:sub>
                  </m:sSub>
                </m:num>
                <m:den>
                  <m:r>
                    <m:t>ρ</m:t>
                  </m:r>
                </m:den>
              </m:f>
            </m:e>
          </m:nary>
          <m:f>
            <m:fPr>
              <m:type m:val="bar"/>
            </m:fPr>
            <m:num>
              <m:r>
                <m:t>d</m:t>
              </m:r>
              <m:r>
                <m:t>v</m:t>
              </m:r>
            </m:num>
            <m:den>
              <m:acc>
                <m:accPr>
                  <m:chr m:val="‾"/>
                </m:accPr>
                <m:e>
                  <m:r>
                    <m:t>v</m:t>
                  </m:r>
                </m:e>
              </m:acc>
            </m:den>
          </m:f>
          <m:r>
            <m:rPr>
              <m:sty m:val="p"/>
            </m:rPr>
            <m:t>=</m:t>
          </m:r>
          <m:f>
            <m:fPr>
              <m:type m:val="bar"/>
            </m:fPr>
            <m:num>
              <m:r>
                <m:t>μ</m:t>
              </m:r>
              <m:sSub>
                <m:e>
                  <m:r>
                    <m:t>C</m:t>
                  </m:r>
                </m:e>
                <m:sub>
                  <m:r>
                    <m:t>N</m:t>
                  </m:r>
                </m:sub>
              </m:sSub>
            </m:num>
            <m:den>
              <m:r>
                <m:t>ρ</m:t>
              </m:r>
            </m:den>
          </m:f>
          <m:d>
            <m:dPr>
              <m:begChr m:val="("/>
              <m:endChr m:val=")"/>
              <m:sepChr m:val=""/>
              <m:grow/>
            </m:dPr>
            <m:e>
              <m:r>
                <m:t>1</m:t>
              </m:r>
              <m:r>
                <m:rPr>
                  <m:sty m:val="p"/>
                </m:rPr>
                <m:t>−</m:t>
              </m:r>
              <m:f>
                <m:fPr>
                  <m:type m:val="bar"/>
                </m:fPr>
                <m:num>
                  <m:r>
                    <m:t>κ</m:t>
                  </m:r>
                  <m:d>
                    <m:dPr>
                      <m:begChr m:val="("/>
                      <m:endChr m:val=")"/>
                      <m:sepChr m:val=""/>
                      <m:grow/>
                    </m:dPr>
                    <m:e>
                      <m:r>
                        <m:t>ρ</m:t>
                      </m:r>
                      <m:r>
                        <m:rPr>
                          <m:sty m:val="p"/>
                        </m:rPr>
                        <m:t>+</m:t>
                      </m:r>
                      <m:r>
                        <m:t>μ</m:t>
                      </m:r>
                    </m:e>
                  </m:d>
                </m:num>
                <m:den>
                  <m:r>
                    <m:t>2</m:t>
                  </m:r>
                </m:den>
              </m:f>
            </m:e>
          </m:d>
          <m:r>
            <m:rPr>
              <m:sty m:val="p"/>
            </m:rPr>
            <m:t>.</m:t>
          </m:r>
        </m:oMath>
      </m:oMathPara>
    </w:p>
    <w:p>
      <w:pPr>
        <w:pStyle w:val="FirstParagraph"/>
      </w:pPr>
      <w:r>
        <w:t xml:space="preserve">Then</w:t>
      </w:r>
      <w:r>
        <w:t xml:space="preserve"> </w:t>
      </w:r>
      <m:oMath>
        <m:r>
          <m:rPr>
            <m:sty m:val="p"/>
          </m:rPr>
          <m:t>∂</m:t>
        </m:r>
        <m:r>
          <m:t>E</m:t>
        </m:r>
        <m:d>
          <m:dPr>
            <m:begChr m:val="["/>
            <m:endChr m:val="]"/>
            <m:sepChr m:val=""/>
            <m:grow/>
          </m:dPr>
          <m:e>
            <m:r>
              <m:t>m</m:t>
            </m:r>
          </m:e>
        </m:d>
        <m:r>
          <m:rPr>
            <m:sty m:val="p"/>
          </m:rPr>
          <m:t>/</m:t>
        </m:r>
        <m:r>
          <m:rPr>
            <m:sty m:val="p"/>
          </m:rPr>
          <m:t>∂</m:t>
        </m:r>
        <m:r>
          <m:t>μ</m:t>
        </m:r>
        <m:r>
          <m:rPr>
            <m:sty m:val="p"/>
          </m:rPr>
          <m:t>=</m:t>
        </m:r>
        <m:d>
          <m:dPr>
            <m:begChr m:val="("/>
            <m:endChr m:val=")"/>
            <m:sepChr m:val=""/>
            <m:grow/>
          </m:dPr>
          <m:e>
            <m:sSub>
              <m:e>
                <m:r>
                  <m:t>C</m:t>
                </m:r>
              </m:e>
              <m:sub>
                <m:r>
                  <m:t>N</m:t>
                </m:r>
              </m:sub>
            </m:sSub>
            <m:r>
              <m:rPr>
                <m:sty m:val="p"/>
              </m:rPr>
              <m:t>/</m:t>
            </m:r>
            <m:r>
              <m:t>ρ</m:t>
            </m:r>
          </m:e>
        </m:d>
        <m:d>
          <m:dPr>
            <m:begChr m:val="("/>
            <m:endChr m:val=")"/>
            <m:sepChr m:val=""/>
            <m:grow/>
          </m:dPr>
          <m:e>
            <m:r>
              <m:t>1</m:t>
            </m:r>
            <m:r>
              <m:rPr>
                <m:sty m:val="p"/>
              </m:rPr>
              <m:t>−</m:t>
            </m:r>
            <m:r>
              <m:t>κ</m:t>
            </m:r>
            <m:r>
              <m:t>ρ</m:t>
            </m:r>
            <m:r>
              <m:rPr>
                <m:sty m:val="p"/>
              </m:rPr>
              <m:t>/</m:t>
            </m:r>
            <m:r>
              <m:t>2</m:t>
            </m:r>
          </m:e>
        </m:d>
        <m:r>
          <m:rPr>
            <m:sty m:val="p"/>
          </m:rPr>
          <m:t>−</m:t>
        </m:r>
        <m:r>
          <m:t>μ</m:t>
        </m:r>
        <m:sSub>
          <m:e>
            <m:r>
              <m:t>C</m:t>
            </m:r>
          </m:e>
          <m:sub>
            <m:r>
              <m:t>N</m:t>
            </m:r>
          </m:sub>
        </m:sSub>
        <m:r>
          <m:t>κ</m:t>
        </m:r>
        <m:r>
          <m:rPr>
            <m:sty m:val="p"/>
          </m:rPr>
          <m:t>/</m:t>
        </m:r>
        <m:r>
          <m:t>ρ</m:t>
        </m:r>
      </m:oMath>
      <w:r>
        <w:t xml:space="preserve">, which produces</w:t>
      </w:r>
      <w:r>
        <w:t xml:space="preserve"> </w:t>
      </w:r>
      <m:oMath>
        <m:r>
          <m:t>X</m:t>
        </m:r>
      </m:oMath>
      <w:r>
        <w:t xml:space="preserve"> </w:t>
      </w:r>
      <w:r>
        <w:t xml:space="preserve">and</w:t>
      </w:r>
      <w:r>
        <w:t xml:space="preserve"> </w:t>
      </w:r>
      <m:oMath>
        <m:r>
          <m:t>Y</m:t>
        </m:r>
      </m:oMath>
      <w:r>
        <w:t xml:space="preserve"> </w:t>
      </w:r>
      <w:r>
        <w:t xml:space="preserve">and the closed form. Concavity requires</w:t>
      </w:r>
      <w:r>
        <w:t xml:space="preserve"> </w:t>
      </w:r>
      <m:oMath>
        <m:r>
          <m:t>c</m:t>
        </m:r>
        <m:r>
          <m:rPr>
            <m:sty m:val="p"/>
          </m:rPr>
          <m:t>&gt;</m:t>
        </m:r>
        <m:r>
          <m:t>θ</m:t>
        </m:r>
        <m:r>
          <m:t>Y</m:t>
        </m:r>
      </m:oMath>
      <w:r>
        <w:t xml:space="preserve">.</w:t>
      </w:r>
      <w:r>
        <w:t xml:space="preserve"> </w:t>
      </w:r>
      <m:oMath>
        <m:r>
          <m:rPr>
            <m:sty m:val="p"/>
          </m:rPr>
          <m:t>▫</m:t>
        </m:r>
      </m:oMath>
    </w:p>
    <w:p>
      <w:pPr>
        <w:pStyle w:val="BodyText"/>
      </w:pPr>
      <w:r>
        <w:rPr>
          <w:bCs/>
          <w:b/>
        </w:rPr>
        <w:t xml:space="preserve">Proof of Proposition 5.</w:t>
      </w:r>
      <w:r>
        <w:t xml:space="preserve"> </w:t>
      </w:r>
      <w:r>
        <w:t xml:space="preserve">Substituting the owner’s first-order condition into the planner’s derivative gives</w:t>
      </w:r>
      <w:r>
        <w:t xml:space="preserve"> </w:t>
      </w:r>
      <m:oMath>
        <m:r>
          <m:rPr>
            <m:sty m:val="p"/>
            <m:scr m:val="script"/>
          </m:rPr>
          <m:t>W</m:t>
        </m:r>
        <m:r>
          <m:rPr>
            <m:sty m:val="p"/>
          </m:rPr>
          <m:t>′</m:t>
        </m:r>
        <m:d>
          <m:dPr>
            <m:begChr m:val="("/>
            <m:endChr m:val=")"/>
            <m:sepChr m:val=""/>
            <m:grow/>
          </m:dPr>
          <m:e>
            <m:sSub>
              <m:e>
                <m:r>
                  <m:t>μ</m:t>
                </m:r>
              </m:e>
              <m:sub>
                <m:r>
                  <m:t>V</m:t>
                </m:r>
              </m:sub>
            </m:sSub>
          </m:e>
        </m:d>
        <m:r>
          <m:rPr>
            <m:sty m:val="p"/>
          </m:rPr>
          <m:t>=</m:t>
        </m:r>
        <m:d>
          <m:dPr>
            <m:begChr m:val="("/>
            <m:endChr m:val=")"/>
            <m:sepChr m:val=""/>
            <m:grow/>
          </m:dPr>
          <m:e>
            <m:r>
              <m:t>1</m:t>
            </m:r>
            <m:r>
              <m:rPr>
                <m:sty m:val="p"/>
              </m:rPr>
              <m:t>−</m:t>
            </m:r>
            <m:r>
              <m:t>θ</m:t>
            </m:r>
          </m:e>
        </m:d>
        <m:r>
          <m:t> </m:t>
        </m:r>
        <m:r>
          <m:t>n</m:t>
        </m:r>
        <m:r>
          <m:t> </m:t>
        </m:r>
        <m:r>
          <m:t>E</m:t>
        </m:r>
        <m:d>
          <m:dPr>
            <m:begChr m:val="["/>
            <m:endChr m:val="]"/>
            <m:sepChr m:val=""/>
            <m:grow/>
          </m:dPr>
          <m:e>
            <m:sSub>
              <m:e>
                <m:r>
                  <m:t>s</m:t>
                </m:r>
              </m:e>
              <m:sub>
                <m:r>
                  <m:t>μ</m:t>
                </m:r>
              </m:sub>
            </m:sSub>
            <m:d>
              <m:dPr>
                <m:begChr m:val="("/>
                <m:endChr m:val=")"/>
                <m:sepChr m:val=""/>
                <m:grow/>
              </m:dPr>
              <m:e>
                <m:sSub>
                  <m:e>
                    <m:r>
                      <m:t>μ</m:t>
                    </m:r>
                  </m:e>
                  <m:sub>
                    <m:r>
                      <m:t>V</m:t>
                    </m:r>
                  </m:sub>
                </m:sSub>
              </m:e>
            </m:d>
          </m:e>
        </m:d>
      </m:oMath>
      <w:r>
        <w:t xml:space="preserve">, which is negative if and only if</w:t>
      </w:r>
      <w:r>
        <w:t xml:space="preserve"> </w:t>
      </w:r>
      <m:oMath>
        <m:sSub>
          <m:e>
            <m:r>
              <m:t>μ</m:t>
            </m:r>
          </m:e>
          <m:sub>
            <m:r>
              <m:t>P</m:t>
            </m:r>
          </m:sub>
        </m:sSub>
        <m:r>
          <m:rPr>
            <m:sty m:val="p"/>
          </m:rPr>
          <m:t>&lt;</m:t>
        </m:r>
        <m:sSub>
          <m:e>
            <m:r>
              <m:t>μ</m:t>
            </m:r>
          </m:e>
          <m:sub>
            <m:r>
              <m:t>V</m:t>
            </m:r>
          </m:sub>
        </m:sSub>
      </m:oMath>
      <w:r>
        <w:t xml:space="preserve"> </w:t>
      </w:r>
      <w:r>
        <w:t xml:space="preserve">when</w:t>
      </w:r>
      <w:r>
        <w:t xml:space="preserve"> </w:t>
      </w:r>
      <m:oMath>
        <m:r>
          <m:rPr>
            <m:sty m:val="p"/>
            <m:scr m:val="script"/>
          </m:rPr>
          <m:t>W</m:t>
        </m:r>
      </m:oMath>
      <w:r>
        <w:t xml:space="preserve"> </w:t>
      </w:r>
      <w:r>
        <w:t xml:space="preserve">is concave. For the uniform case write</w:t>
      </w:r>
      <w:r>
        <w:t xml:space="preserve"> </w:t>
      </w:r>
      <m:oMath>
        <m:r>
          <m:t>μ</m:t>
        </m:r>
        <m:d>
          <m:dPr>
            <m:begChr m:val="("/>
            <m:endChr m:val=")"/>
            <m:sepChr m:val=""/>
            <m:grow/>
          </m:dPr>
          <m:e>
            <m:r>
              <m:t>θ</m:t>
            </m:r>
          </m:e>
        </m:d>
        <m:r>
          <m:rPr>
            <m:sty m:val="p"/>
          </m:rPr>
          <m:t>=</m:t>
        </m:r>
        <m:d>
          <m:dPr>
            <m:begChr m:val="("/>
            <m:endChr m:val=")"/>
            <m:sepChr m:val=""/>
            <m:grow/>
          </m:dPr>
          <m:e>
            <m:r>
              <m:t>ψ</m:t>
            </m:r>
            <m:r>
              <m:rPr>
                <m:sty m:val="p"/>
              </m:rPr>
              <m:t>+</m:t>
            </m:r>
            <m:r>
              <m:t>θ</m:t>
            </m:r>
            <m:r>
              <m:t>X</m:t>
            </m:r>
          </m:e>
        </m:d>
        <m:r>
          <m:rPr>
            <m:sty m:val="p"/>
          </m:rPr>
          <m:t>/</m:t>
        </m:r>
        <m:d>
          <m:dPr>
            <m:begChr m:val="("/>
            <m:endChr m:val=")"/>
            <m:sepChr m:val=""/>
            <m:grow/>
          </m:dPr>
          <m:e>
            <m:r>
              <m:t>c</m:t>
            </m:r>
            <m:r>
              <m:rPr>
                <m:sty m:val="p"/>
              </m:rPr>
              <m:t>−</m:t>
            </m:r>
            <m:r>
              <m:t>θ</m:t>
            </m:r>
            <m:r>
              <m:t>Y</m:t>
            </m:r>
          </m:e>
        </m:d>
      </m:oMath>
      <w:r>
        <w:t xml:space="preserve">. Then</w:t>
      </w:r>
      <w:r>
        <w:t xml:space="preserve"> </w:t>
      </w:r>
      <m:oMath>
        <m:r>
          <m:t>d</m:t>
        </m:r>
        <m:r>
          <m:t>μ</m:t>
        </m:r>
        <m:r>
          <m:rPr>
            <m:sty m:val="p"/>
          </m:rPr>
          <m:t>/</m:t>
        </m:r>
        <m:r>
          <m:t>d</m:t>
        </m:r>
        <m:r>
          <m:t>θ</m:t>
        </m:r>
      </m:oMath>
      <w:r>
        <w:t xml:space="preserve"> </w:t>
      </w:r>
      <w:r>
        <w:t xml:space="preserve">has the sign of</w:t>
      </w:r>
      <w:r>
        <w:t xml:space="preserve"> </w:t>
      </w:r>
      <m:oMath>
        <m:r>
          <m:t>c</m:t>
        </m:r>
        <m:r>
          <m:t>X</m:t>
        </m:r>
        <m:r>
          <m:rPr>
            <m:sty m:val="p"/>
          </m:rPr>
          <m:t>+</m:t>
        </m:r>
        <m:r>
          <m:t>ψ</m:t>
        </m:r>
        <m:r>
          <m:t>Y</m:t>
        </m:r>
      </m:oMath>
      <w:r>
        <w:t xml:space="preserve">, which does not depend on</w:t>
      </w:r>
      <w:r>
        <w:t xml:space="preserve"> </w:t>
      </w:r>
      <m:oMath>
        <m:r>
          <m:t>θ</m:t>
        </m:r>
      </m:oMath>
      <w:r>
        <w:t xml:space="preserve">. Thus</w:t>
      </w:r>
      <w:r>
        <w:t xml:space="preserve"> </w:t>
      </w:r>
      <m:oMath>
        <m:r>
          <m:t>μ</m:t>
        </m:r>
        <m:d>
          <m:dPr>
            <m:begChr m:val="("/>
            <m:endChr m:val=")"/>
            <m:sepChr m:val=""/>
            <m:grow/>
          </m:dPr>
          <m:e>
            <m:r>
              <m:t>θ</m:t>
            </m:r>
          </m:e>
        </m:d>
        <m:r>
          <m:rPr>
            <m:sty m:val="p"/>
          </m:rPr>
          <m:t>&gt;</m:t>
        </m:r>
        <m:r>
          <m:t>μ</m:t>
        </m:r>
        <m:d>
          <m:dPr>
            <m:begChr m:val="("/>
            <m:endChr m:val=")"/>
            <m:sepChr m:val=""/>
            <m:grow/>
          </m:dPr>
          <m:e>
            <m:r>
              <m:t>1</m:t>
            </m:r>
          </m:e>
        </m:d>
      </m:oMath>
      <w:r>
        <w:t xml:space="preserve"> </w:t>
      </w:r>
      <w:r>
        <w:t xml:space="preserve">for</w:t>
      </w:r>
      <w:r>
        <w:t xml:space="preserve"> </w:t>
      </w:r>
      <m:oMath>
        <m:r>
          <m:t>θ</m:t>
        </m:r>
        <m:r>
          <m:rPr>
            <m:sty m:val="p"/>
          </m:rPr>
          <m:t>&lt;</m:t>
        </m:r>
        <m:r>
          <m:t>1</m:t>
        </m:r>
      </m:oMath>
      <w:r>
        <w:t xml:space="preserve"> </w:t>
      </w:r>
      <w:r>
        <w:t xml:space="preserve">if and only if</w:t>
      </w:r>
      <w:r>
        <w:t xml:space="preserve"> </w:t>
      </w:r>
      <m:oMath>
        <m:r>
          <m:t>c</m:t>
        </m:r>
        <m:r>
          <m:t>X</m:t>
        </m:r>
        <m:r>
          <m:rPr>
            <m:sty m:val="p"/>
          </m:rPr>
          <m:t>+</m:t>
        </m:r>
        <m:r>
          <m:t>ψ</m:t>
        </m:r>
        <m:r>
          <m:t>Y</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m:oMath>
        <m:r>
          <m:t>d</m:t>
        </m:r>
        <m:sSub>
          <m:e>
            <m:r>
              <m:t>μ</m:t>
            </m:r>
          </m:e>
          <m:sub>
            <m:r>
              <m:t>V</m:t>
            </m:r>
          </m:sub>
        </m:sSub>
        <m:r>
          <m:rPr>
            <m:sty m:val="p"/>
          </m:rPr>
          <m:t>/</m:t>
        </m:r>
        <m:r>
          <m:t>d</m:t>
        </m:r>
        <m:r>
          <m:t>R</m:t>
        </m:r>
        <m:r>
          <m:rPr>
            <m:sty m:val="p"/>
          </m:rPr>
          <m:t>=</m:t>
        </m:r>
        <m:r>
          <m:rPr>
            <m:sty m:val="p"/>
          </m:rPr>
          <m:t>−</m:t>
        </m:r>
        <m:sSub>
          <m:e>
            <m:r>
              <m:t>Π</m:t>
            </m:r>
          </m:e>
          <m:sub>
            <m:r>
              <m:t>μ</m:t>
            </m:r>
            <m:r>
              <m:t>R</m:t>
            </m:r>
          </m:sub>
        </m:sSub>
        <m:r>
          <m:rPr>
            <m:sty m:val="p"/>
          </m:rPr>
          <m:t>/</m:t>
        </m:r>
        <m:sSub>
          <m:e>
            <m:r>
              <m:t>Π</m:t>
            </m:r>
          </m:e>
          <m:sub>
            <m:r>
              <m:t>μ</m:t>
            </m:r>
            <m:r>
              <m:t>μ</m:t>
            </m:r>
          </m:sub>
        </m:sSub>
      </m:oMath>
      <w:r>
        <w:t xml:space="preserve"> </w:t>
      </w:r>
      <w:r>
        <w:t xml:space="preserve">with</w:t>
      </w:r>
      <w:r>
        <w:t xml:space="preserve"> </w:t>
      </w:r>
      <m:oMath>
        <m:sSub>
          <m:e>
            <m:r>
              <m:t>Π</m:t>
            </m:r>
          </m:e>
          <m:sub>
            <m:r>
              <m:t>μ</m:t>
            </m:r>
            <m:r>
              <m:t>μ</m:t>
            </m:r>
          </m:sub>
        </m:sSub>
        <m:r>
          <m:rPr>
            <m:sty m:val="p"/>
          </m:rPr>
          <m:t>&lt;</m:t>
        </m:r>
        <m:r>
          <m:t>0</m:t>
        </m:r>
      </m:oMath>
      <w:r>
        <w:t xml:space="preserve">. Differentiating the first-order condition with respect to</w:t>
      </w:r>
      <w:r>
        <w:t xml:space="preserve"> </w:t>
      </w:r>
      <m:oMath>
        <m:r>
          <m:t>R</m:t>
        </m:r>
      </m:oMath>
      <w:r>
        <w:t xml:space="preserve">,</w:t>
      </w:r>
    </w:p>
    <w:p>
      <w:pPr>
        <w:pStyle w:val="BodyText"/>
      </w:pPr>
      <m:oMathPara>
        <m:oMathParaPr>
          <m:jc m:val="center"/>
        </m:oMathParaPr>
        <m:oMath>
          <m:sSub>
            <m:e>
              <m:r>
                <m:t>Π</m:t>
              </m:r>
            </m:e>
            <m:sub>
              <m:r>
                <m:t>μ</m:t>
              </m:r>
              <m:r>
                <m:t>R</m:t>
              </m:r>
            </m:sub>
          </m:sSub>
          <m:r>
            <m:rPr>
              <m:sty m:val="p"/>
            </m:rPr>
            <m:t>=</m:t>
          </m:r>
          <m:r>
            <m:rPr>
              <m:sty m:val="p"/>
            </m:rPr>
            <m:t>−</m:t>
          </m:r>
          <m:r>
            <m:t>θ</m:t>
          </m:r>
          <m:r>
            <m:t>n</m:t>
          </m:r>
          <m:r>
            <m:rPr>
              <m:sty m:val="p"/>
            </m:rPr>
            <m:t>⋅</m:t>
          </m:r>
          <m:f>
            <m:fPr>
              <m:type m:val="bar"/>
            </m:fPr>
            <m:num>
              <m:sSup>
                <m:e>
                  <m:r>
                    <m:rPr>
                      <m:sty m:val="p"/>
                    </m:rPr>
                    <m:t>∂</m:t>
                  </m:r>
                </m:e>
                <m:sup>
                  <m:r>
                    <m:t>2</m:t>
                  </m:r>
                </m:sup>
              </m:sSup>
              <m:r>
                <m:t>E</m:t>
              </m:r>
              <m:d>
                <m:dPr>
                  <m:begChr m:val="["/>
                  <m:endChr m:val="]"/>
                  <m:sepChr m:val=""/>
                  <m:grow/>
                </m:dPr>
                <m:e>
                  <m:r>
                    <m:t>m</m:t>
                  </m:r>
                </m:e>
              </m:d>
            </m:num>
            <m:den>
              <m:r>
                <m:rPr>
                  <m:sty m:val="p"/>
                </m:rPr>
                <m:t>∂</m:t>
              </m:r>
              <m:r>
                <m:t>μ</m:t>
              </m:r>
              <m:r>
                <m:t> </m:t>
              </m:r>
              <m:r>
                <m:rPr>
                  <m:sty m:val="p"/>
                </m:rPr>
                <m:t>∂</m:t>
              </m:r>
              <m:r>
                <m:t>R</m:t>
              </m:r>
            </m:den>
          </m:f>
          <m:r>
            <m:rPr>
              <m:sty m:val="p"/>
            </m:rPr>
            <m:t>.</m:t>
          </m:r>
        </m:oMath>
      </m:oMathPara>
    </w:p>
    <w:p>
      <w:pPr>
        <w:pStyle w:val="FirstParagraph"/>
      </w:pPr>
      <w:r>
        <w:t xml:space="preserve">The first term in that cross-partial, holding</w:t>
      </w:r>
      <w:r>
        <w:t xml:space="preserve"> </w:t>
      </w:r>
      <m:oMath>
        <m:acc>
          <m:accPr>
            <m:chr m:val="̂"/>
          </m:accPr>
          <m:e>
            <m:r>
              <m:t>v</m:t>
            </m:r>
          </m:e>
        </m:acc>
      </m:oMath>
      <w:r>
        <w:t xml:space="preserve"> </w:t>
      </w:r>
      <w:r>
        <w:t xml:space="preserve">fixed, is negative because a higher</w:t>
      </w:r>
      <w:r>
        <w:t xml:space="preserve"> </w:t>
      </w:r>
      <m:oMath>
        <m:r>
          <m:t>R</m:t>
        </m:r>
      </m:oMath>
      <w:r>
        <w:t xml:space="preserve"> </w:t>
      </w:r>
      <w:r>
        <w:t xml:space="preserve">lowers the marginal burden of transferring firms. The second term comes from</w:t>
      </w:r>
      <w:r>
        <w:t xml:space="preserve"> </w:t>
      </w:r>
      <m:oMath>
        <m:r>
          <m:rPr>
            <m:sty m:val="p"/>
          </m:rPr>
          <m:t>∂</m:t>
        </m:r>
        <m:acc>
          <m:accPr>
            <m:chr m:val="̂"/>
          </m:accPr>
          <m:e>
            <m:r>
              <m:t>v</m:t>
            </m:r>
          </m:e>
        </m:acc>
        <m:r>
          <m:rPr>
            <m:sty m:val="p"/>
          </m:rPr>
          <m:t>/</m:t>
        </m:r>
        <m:r>
          <m:rPr>
            <m:sty m:val="p"/>
          </m:rPr>
          <m:t>∂</m:t>
        </m:r>
        <m:r>
          <m:t>R</m:t>
        </m:r>
        <m:r>
          <m:rPr>
            <m:sty m:val="p"/>
          </m:rPr>
          <m:t>=</m:t>
        </m:r>
        <m:sSub>
          <m:e>
            <m:r>
              <m:t>C</m:t>
            </m:r>
          </m:e>
          <m:sub>
            <m:r>
              <m:t>N</m:t>
            </m:r>
          </m:sub>
        </m:sSub>
        <m:d>
          <m:dPr>
            <m:begChr m:val="("/>
            <m:endChr m:val=")"/>
            <m:sepChr m:val=""/>
            <m:grow/>
          </m:dPr>
          <m:e>
            <m:r>
              <m:t>ρ</m:t>
            </m:r>
            <m:r>
              <m:rPr>
                <m:sty m:val="p"/>
              </m:rPr>
              <m:t>+</m:t>
            </m:r>
            <m:r>
              <m:t>μ</m:t>
            </m:r>
          </m:e>
        </m:d>
        <m:r>
          <m:rPr>
            <m:sty m:val="p"/>
          </m:rPr>
          <m:t>/</m:t>
        </m:r>
        <m:sSup>
          <m:e>
            <m:d>
              <m:dPr>
                <m:begChr m:val="("/>
                <m:endChr m:val=")"/>
                <m:sepChr m:val=""/>
                <m:grow/>
              </m:dPr>
              <m:e>
                <m:r>
                  <m:t>1</m:t>
                </m:r>
                <m:r>
                  <m:rPr>
                    <m:sty m:val="p"/>
                  </m:rPr>
                  <m:t>−</m:t>
                </m:r>
                <m:r>
                  <m:t>R</m:t>
                </m:r>
              </m:e>
            </m:d>
          </m:e>
          <m:sup>
            <m:r>
              <m:t>2</m:t>
            </m:r>
          </m:sup>
        </m:sSup>
        <m:r>
          <m:rPr>
            <m:sty m:val="p"/>
          </m:rPr>
          <m:t>&gt;</m:t>
        </m:r>
        <m:r>
          <m:t>0</m:t>
        </m:r>
      </m:oMath>
      <w:r>
        <w:t xml:space="preserve">. At</w:t>
      </w:r>
      <w:r>
        <w:t xml:space="preserve"> </w:t>
      </w:r>
      <m:oMath>
        <m:acc>
          <m:accPr>
            <m:chr m:val="̂"/>
          </m:accPr>
          <m:e>
            <m:r>
              <m:t>v</m:t>
            </m:r>
          </m:e>
        </m:acc>
      </m:oMath>
      <w:r>
        <w:t xml:space="preserve"> </w:t>
      </w:r>
      <w:r>
        <w:t xml:space="preserve">a transferring firm’s marginal burden</w:t>
      </w:r>
      <w:r>
        <w:t xml:space="preserve"> </w:t>
      </w:r>
      <m:oMath>
        <m:sSub>
          <m:e>
            <m:r>
              <m:t>C</m:t>
            </m:r>
          </m:e>
          <m:sub>
            <m:r>
              <m:t>N</m:t>
            </m:r>
          </m:sub>
        </m:sSub>
        <m:r>
          <m:rPr>
            <m:sty m:val="p"/>
          </m:rPr>
          <m:t>/</m:t>
        </m:r>
        <m:d>
          <m:dPr>
            <m:begChr m:val="("/>
            <m:endChr m:val=")"/>
            <m:sepChr m:val=""/>
            <m:grow/>
          </m:dPr>
          <m:e>
            <m:r>
              <m:t>ρ</m:t>
            </m:r>
            <m:r>
              <m:rPr>
                <m:sty m:val="p"/>
              </m:rPr>
              <m:t>+</m:t>
            </m:r>
            <m:r>
              <m:t>μ</m:t>
            </m:r>
          </m:e>
        </m:d>
      </m:oMath>
      <w:r>
        <w:t xml:space="preserve"> </w:t>
      </w:r>
      <w:r>
        <w:t xml:space="preserve">lies below a retraining firm’s</w:t>
      </w:r>
      <w:r>
        <w:t xml:space="preserve"> </w:t>
      </w:r>
      <m:oMath>
        <m:sSub>
          <m:e>
            <m:r>
              <m:t>C</m:t>
            </m:r>
          </m:e>
          <m:sub>
            <m:r>
              <m:t>N</m:t>
            </m:r>
          </m:sub>
        </m:sSub>
        <m:r>
          <m:rPr>
            <m:sty m:val="p"/>
          </m:rPr>
          <m:t>/</m:t>
        </m:r>
        <m:r>
          <m:t>ρ</m:t>
        </m:r>
      </m:oMath>
      <w:r>
        <w:t xml:space="preserve">. Raising</w:t>
      </w:r>
      <w:r>
        <w:t xml:space="preserve"> </w:t>
      </w:r>
      <m:oMath>
        <m:acc>
          <m:accPr>
            <m:chr m:val="̂"/>
          </m:accPr>
          <m:e>
            <m:r>
              <m:t>v</m:t>
            </m:r>
          </m:e>
        </m:acc>
      </m:oMath>
      <w:r>
        <w:t xml:space="preserve"> </w:t>
      </w:r>
      <w:r>
        <w:t xml:space="preserve">therefore replaces a high marginal burden with a lower one, which again lowers</w:t>
      </w:r>
      <w:r>
        <w:t xml:space="preserve"> </w:t>
      </w:r>
      <m:oMath>
        <m:r>
          <m:rPr>
            <m:sty m:val="p"/>
          </m:rPr>
          <m:t>∂</m:t>
        </m:r>
        <m:r>
          <m:t>E</m:t>
        </m:r>
        <m:d>
          <m:dPr>
            <m:begChr m:val="["/>
            <m:endChr m:val="]"/>
            <m:sepChr m:val=""/>
            <m:grow/>
          </m:dPr>
          <m:e>
            <m:r>
              <m:t>m</m:t>
            </m:r>
          </m:e>
        </m:d>
        <m:r>
          <m:rPr>
            <m:sty m:val="p"/>
          </m:rPr>
          <m:t>/</m:t>
        </m:r>
        <m:r>
          <m:rPr>
            <m:sty m:val="p"/>
          </m:rPr>
          <m:t>∂</m:t>
        </m:r>
        <m:r>
          <m:t>μ</m:t>
        </m:r>
      </m:oMath>
      <w:r>
        <w:t xml:space="preserve">. Hence</w:t>
      </w:r>
      <w:r>
        <w:t xml:space="preserve"> </w:t>
      </w:r>
      <m:oMath>
        <m:sSub>
          <m:e>
            <m:r>
              <m:t>Π</m:t>
            </m:r>
          </m:e>
          <m:sub>
            <m:r>
              <m:t>μ</m:t>
            </m:r>
            <m:r>
              <m:t>R</m:t>
            </m:r>
          </m:sub>
        </m:sSub>
        <m:r>
          <m:rPr>
            <m:sty m:val="p"/>
          </m:rPr>
          <m:t>&gt;</m:t>
        </m:r>
        <m:r>
          <m:t>0</m:t>
        </m:r>
      </m:oMath>
      <w:r>
        <w:t xml:space="preserve"> </w:t>
      </w:r>
      <w:r>
        <w:t xml:space="preserve">and</w:t>
      </w:r>
      <w:r>
        <w:t xml:space="preserve"> </w:t>
      </w:r>
      <m:oMath>
        <m:r>
          <m:t>d</m:t>
        </m:r>
        <m:sSub>
          <m:e>
            <m:r>
              <m:t>μ</m:t>
            </m:r>
          </m:e>
          <m:sub>
            <m:r>
              <m:t>V</m:t>
            </m:r>
          </m:sub>
        </m:sSub>
        <m:r>
          <m:rPr>
            <m:sty m:val="p"/>
          </m:rPr>
          <m:t>/</m:t>
        </m:r>
        <m:r>
          <m:t>d</m:t>
        </m:r>
        <m:r>
          <m:t>R</m:t>
        </m:r>
        <m:r>
          <m:rPr>
            <m:sty m:val="p"/>
          </m:rPr>
          <m:t>&gt;</m:t>
        </m:r>
        <m:r>
          <m:t>0</m:t>
        </m:r>
      </m:oMath>
      <w:r>
        <w:t xml:space="preserve">.</w:t>
      </w:r>
      <w:r>
        <w:t xml:space="preserve"> </w:t>
      </w:r>
      <m:oMath>
        <m:r>
          <m:rPr>
            <m:sty m:val="p"/>
          </m:rPr>
          <m:t>▫</m:t>
        </m:r>
      </m:oMath>
    </w:p>
    <w:p>
      <w:pPr>
        <w:pStyle w:val="BodyText"/>
      </w:pPr>
      <w:r>
        <w:rPr>
          <w:bCs/>
          <w:b/>
        </w:rPr>
        <w:t xml:space="preserve">Proof of Proposition 7.</w:t>
      </w:r>
      <w:r>
        <w:t xml:space="preserve"> </w:t>
      </w:r>
      <w:r>
        <w:t xml:space="preserve">Differentiate</w:t>
      </w:r>
      <w:r>
        <w:t xml:space="preserve"> </w:t>
      </w:r>
      <m:oMath>
        <m:r>
          <m:t>s</m:t>
        </m:r>
        <m:d>
          <m:dPr>
            <m:begChr m:val="("/>
            <m:endChr m:val=")"/>
            <m:sepChr m:val=""/>
            <m:grow/>
          </m:dPr>
          <m:e>
            <m:sSub>
              <m:e>
                <m:r>
                  <m:t>μ</m:t>
                </m:r>
              </m:e>
              <m:sub>
                <m:r>
                  <m:t>V</m:t>
                </m:r>
              </m:sub>
            </m:sSub>
            <m:d>
              <m:dPr>
                <m:begChr m:val="("/>
                <m:endChr m:val=")"/>
                <m:sepChr m:val=""/>
                <m:grow/>
              </m:dPr>
              <m:e>
                <m:r>
                  <m:t>R</m:t>
                </m:r>
              </m:e>
            </m:d>
            <m:r>
              <m:rPr>
                <m:sty m:val="p"/>
              </m:rPr>
              <m:t>,</m:t>
            </m:r>
            <m:r>
              <m:t>v</m:t>
            </m:r>
            <m:r>
              <m:rPr>
                <m:sty m:val="p"/>
              </m:rPr>
              <m:t>;</m:t>
            </m:r>
            <m:r>
              <m:t>R</m:t>
            </m:r>
          </m:e>
        </m:d>
      </m:oMath>
      <w:r>
        <w:t xml:space="preserve"> </w:t>
      </w:r>
      <w:r>
        <w:t xml:space="preserve">and use Proposition 6. A retraining firm has</w:t>
      </w:r>
      <w:r>
        <w:t xml:space="preserve"> </w:t>
      </w:r>
      <m:oMath>
        <m:r>
          <m:rPr>
            <m:sty m:val="p"/>
          </m:rPr>
          <m:t>∂</m:t>
        </m:r>
        <m:r>
          <m:t>s</m:t>
        </m:r>
        <m:r>
          <m:rPr>
            <m:sty m:val="p"/>
          </m:rPr>
          <m:t>/</m:t>
        </m:r>
        <m:r>
          <m:rPr>
            <m:sty m:val="p"/>
          </m:rPr>
          <m:t>∂</m:t>
        </m:r>
        <m:r>
          <m:t>R</m:t>
        </m:r>
        <m:sSub>
          <m:e>
            <m:r>
              <m:rPr>
                <m:sty m:val="p"/>
              </m:rPr>
              <m:t>|</m:t>
            </m:r>
          </m:e>
          <m:sub>
            <m:r>
              <m:t>μ</m:t>
            </m:r>
          </m:sub>
        </m:sSub>
        <m:r>
          <m:rPr>
            <m:sty m:val="p"/>
          </m:rPr>
          <m:t>=</m:t>
        </m:r>
        <m:r>
          <m:t>0</m:t>
        </m:r>
      </m:oMath>
      <w:r>
        <w:t xml:space="preserve"> </w:t>
      </w:r>
      <w:r>
        <w:t xml:space="preserve">and</w:t>
      </w:r>
      <w:r>
        <w:t xml:space="preserve"> </w:t>
      </w:r>
      <m:oMath>
        <m:sSub>
          <m:e>
            <m:r>
              <m:t>s</m:t>
            </m:r>
          </m:e>
          <m:sub>
            <m:r>
              <m:t>μ</m:t>
            </m:r>
          </m:sub>
        </m:sSub>
        <m:r>
          <m:rPr>
            <m:sty m:val="p"/>
          </m:rPr>
          <m:t>=</m:t>
        </m:r>
        <m:r>
          <m:t>b</m:t>
        </m:r>
        <m:r>
          <m:rPr>
            <m:sty m:val="p"/>
          </m:rPr>
          <m:t>−</m:t>
        </m:r>
        <m:sSub>
          <m:e>
            <m:r>
              <m:t>C</m:t>
            </m:r>
          </m:e>
          <m:sub>
            <m:r>
              <m:t>N</m:t>
            </m:r>
          </m:sub>
        </m:sSub>
        <m:r>
          <m:rPr>
            <m:sty m:val="p"/>
          </m:rPr>
          <m:t>/</m:t>
        </m:r>
        <m:r>
          <m:t>ρ</m:t>
        </m:r>
      </m:oMath>
      <w:r>
        <w:t xml:space="preserve">, which is negative under the maintained condition. A transferring firm with</w:t>
      </w:r>
      <w:r>
        <w:t xml:space="preserve"> </w:t>
      </w:r>
      <m:oMath>
        <m:r>
          <m:t>v</m:t>
        </m:r>
        <m:r>
          <m:rPr>
            <m:sty m:val="p"/>
          </m:rPr>
          <m:t>→</m:t>
        </m:r>
        <m:r>
          <m:t>0</m:t>
        </m:r>
      </m:oMath>
      <w:r>
        <w:t xml:space="preserve"> </w:t>
      </w:r>
      <w:r>
        <w:t xml:space="preserve">has</w:t>
      </w:r>
      <w:r>
        <w:t xml:space="preserve"> </w:t>
      </w:r>
      <m:oMath>
        <m:sSub>
          <m:e>
            <m:r>
              <m:t>s</m:t>
            </m:r>
          </m:e>
          <m:sub>
            <m:r>
              <m:t>μ</m:t>
            </m:r>
          </m:sub>
        </m:sSub>
        <m:r>
          <m:rPr>
            <m:sty m:val="p"/>
          </m:rPr>
          <m:t>→</m:t>
        </m:r>
        <m:r>
          <m:t>b</m:t>
        </m:r>
        <m:r>
          <m:rPr>
            <m:sty m:val="p"/>
          </m:rPr>
          <m:t>&gt;</m:t>
        </m:r>
        <m:r>
          <m:t>0</m:t>
        </m:r>
      </m:oMath>
      <w:r>
        <w:t xml:space="preserve"> </w:t>
      </w:r>
      <w:r>
        <w:t xml:space="preserve">and a strictly positive direct effect. Average surplus moves with</w:t>
      </w:r>
      <w:r>
        <w:t xml:space="preserve"> </w:t>
      </w:r>
      <m:oMath>
        <m:r>
          <m:t>E</m:t>
        </m:r>
        <m:d>
          <m:dPr>
            <m:begChr m:val="["/>
            <m:endChr m:val="]"/>
            <m:sepChr m:val=""/>
            <m:grow/>
          </m:dPr>
          <m:e>
            <m:sSub>
              <m:e>
                <m:r>
                  <m:t>s</m:t>
                </m:r>
              </m:e>
              <m:sub>
                <m:r>
                  <m:t>μ</m:t>
                </m:r>
              </m:sub>
            </m:sSub>
          </m:e>
        </m:d>
        <m:r>
          <m:t> </m:t>
        </m:r>
        <m:r>
          <m:t>d</m:t>
        </m:r>
        <m:sSub>
          <m:e>
            <m:r>
              <m:t>μ</m:t>
            </m:r>
          </m:e>
          <m:sub>
            <m:r>
              <m:t>V</m:t>
            </m:r>
          </m:sub>
        </m:sSub>
        <m:r>
          <m:rPr>
            <m:sty m:val="p"/>
          </m:rPr>
          <m:t>/</m:t>
        </m:r>
        <m:r>
          <m:t>d</m:t>
        </m:r>
        <m:r>
          <m:t>R</m:t>
        </m:r>
      </m:oMath>
      <w:r>
        <w:t xml:space="preserve"> </w:t>
      </w:r>
      <w:r>
        <w:t xml:space="preserve">plus the average direct effect; the first term is negative in the over-release region.</w:t>
      </w:r>
      <w:r>
        <w:t xml:space="preserve"> </w:t>
      </w:r>
      <m:oMath>
        <m:r>
          <m:rPr>
            <m:sty m:val="p"/>
          </m:rPr>
          <m:t>▫</m:t>
        </m:r>
      </m:oMath>
    </w:p>
    <w:p>
      <w:pPr>
        <w:pStyle w:val="BodyText"/>
      </w:pPr>
      <w:r>
        <w:rPr>
          <w:bCs/>
          <w:b/>
        </w:rPr>
        <w:t xml:space="preserve">Proof of Proposition 8.</w:t>
      </w:r>
      <w:r>
        <w:t xml:space="preserve"> </w:t>
      </w:r>
      <m:oMath>
        <m:r>
          <m:t>Π</m:t>
        </m:r>
        <m:d>
          <m:dPr>
            <m:begChr m:val="("/>
            <m:endChr m:val=")"/>
            <m:sepChr m:val=""/>
            <m:grow/>
          </m:dPr>
          <m:e>
            <m:r>
              <m:t>μ</m:t>
            </m:r>
            <m:r>
              <m:rPr>
                <m:sty m:val="p"/>
              </m:rPr>
              <m:t>,</m:t>
            </m:r>
            <m:r>
              <m:t>R</m:t>
            </m:r>
            <m:r>
              <m:rPr>
                <m:sty m:val="p"/>
              </m:rPr>
              <m:t>;</m:t>
            </m:r>
            <m:r>
              <m:t>ψ</m:t>
            </m:r>
          </m:e>
        </m:d>
        <m:r>
          <m:rPr>
            <m:sty m:val="p"/>
          </m:rPr>
          <m:t>=</m:t>
        </m:r>
        <m:r>
          <m:t>ψ</m:t>
        </m:r>
        <m:r>
          <m:t>μ</m:t>
        </m:r>
        <m:r>
          <m:rPr>
            <m:sty m:val="p"/>
          </m:rPr>
          <m:t>−</m:t>
        </m:r>
        <m:f>
          <m:fPr>
            <m:type m:val="lin"/>
          </m:fPr>
          <m:num>
            <m:r>
              <m:t>1</m:t>
            </m:r>
          </m:num>
          <m:den>
            <m:r>
              <m:t>2</m:t>
            </m:r>
          </m:den>
        </m:f>
        <m:r>
          <m:t>c</m:t>
        </m:r>
        <m:sSup>
          <m:e>
            <m:r>
              <m:t>μ</m:t>
            </m:r>
          </m:e>
          <m:sup>
            <m:r>
              <m:t>2</m:t>
            </m:r>
          </m:sup>
        </m:sSup>
        <m:r>
          <m:rPr>
            <m:sty m:val="p"/>
          </m:rPr>
          <m:t>−</m:t>
        </m:r>
        <m:r>
          <m:t>Z</m:t>
        </m:r>
        <m:d>
          <m:dPr>
            <m:begChr m:val="("/>
            <m:endChr m:val=")"/>
            <m:sepChr m:val=""/>
            <m:grow/>
          </m:dPr>
          <m:e>
            <m:r>
              <m:t>R</m:t>
            </m:r>
          </m:e>
        </m:d>
        <m:r>
          <m:rPr>
            <m:sty m:val="p"/>
          </m:rPr>
          <m:t>+</m:t>
        </m:r>
        <m:r>
          <m:t>θ</m:t>
        </m:r>
        <m:r>
          <m:t>n</m:t>
        </m:r>
        <m:r>
          <m:t>E</m:t>
        </m:r>
        <m:d>
          <m:dPr>
            <m:begChr m:val="["/>
            <m:endChr m:val="]"/>
            <m:sepChr m:val=""/>
            <m:grow/>
          </m:dPr>
          <m:e>
            <m:r>
              <m:t>s</m:t>
            </m:r>
            <m:d>
              <m:dPr>
                <m:begChr m:val="("/>
                <m:endChr m:val=")"/>
                <m:sepChr m:val=""/>
                <m:grow/>
              </m:dPr>
              <m:e>
                <m:r>
                  <m:t>μ</m:t>
                </m:r>
                <m:r>
                  <m:rPr>
                    <m:sty m:val="p"/>
                  </m:rPr>
                  <m:t>,</m:t>
                </m:r>
                <m:r>
                  <m:t>v</m:t>
                </m:r>
                <m:r>
                  <m:rPr>
                    <m:sty m:val="p"/>
                  </m:rPr>
                  <m:t>;</m:t>
                </m:r>
                <m:r>
                  <m:t>R</m:t>
                </m:r>
              </m:e>
            </m:d>
          </m:e>
        </m:d>
      </m:oMath>
      <w:r>
        <w:t xml:space="preserve"> </w:t>
      </w:r>
      <w:r>
        <w:t xml:space="preserve">is supermodular in</w:t>
      </w:r>
      <w:r>
        <w:t xml:space="preserve"> </w:t>
      </w:r>
      <m:oMath>
        <m:d>
          <m:dPr>
            <m:begChr m:val="("/>
            <m:endChr m:val=")"/>
            <m:sepChr m:val=""/>
            <m:grow/>
          </m:dPr>
          <m:e>
            <m:r>
              <m:t>μ</m:t>
            </m:r>
            <m:r>
              <m:rPr>
                <m:sty m:val="p"/>
              </m:rPr>
              <m:t>,</m:t>
            </m:r>
            <m:r>
              <m:t>R</m:t>
            </m:r>
          </m:e>
        </m:d>
      </m:oMath>
      <w:r>
        <w:t xml:space="preserve"> </w:t>
      </w:r>
      <w:r>
        <w:t xml:space="preserve">by Proposition 6, has increasing differences in</w:t>
      </w:r>
      <w:r>
        <w:t xml:space="preserve"> </w:t>
      </w:r>
      <m:oMath>
        <m:d>
          <m:dPr>
            <m:begChr m:val="("/>
            <m:endChr m:val=")"/>
            <m:sepChr m:val=""/>
            <m:grow/>
          </m:dPr>
          <m:e>
            <m:r>
              <m:t>μ</m:t>
            </m:r>
            <m:r>
              <m:rPr>
                <m:sty m:val="p"/>
              </m:rPr>
              <m:t>,</m:t>
            </m:r>
            <m:r>
              <m:t>ψ</m:t>
            </m:r>
          </m:e>
        </m:d>
      </m:oMath>
      <w:r>
        <w:t xml:space="preserve">, and has zero cross-partial in</w:t>
      </w:r>
      <w:r>
        <w:t xml:space="preserve"> </w:t>
      </w:r>
      <m:oMath>
        <m:d>
          <m:dPr>
            <m:begChr m:val="("/>
            <m:endChr m:val=")"/>
            <m:sepChr m:val=""/>
            <m:grow/>
          </m:dPr>
          <m:e>
            <m:r>
              <m:t>R</m:t>
            </m:r>
            <m:r>
              <m:rPr>
                <m:sty m:val="p"/>
              </m:rPr>
              <m:t>,</m:t>
            </m:r>
            <m:r>
              <m:t>ψ</m:t>
            </m:r>
          </m:e>
        </m:d>
      </m:oMath>
      <w:r>
        <w:t xml:space="preserve">. Topkis’s theorem (Milgrom and Shannon 1994) yields monotonicity of the extremal optimizers in</w:t>
      </w:r>
      <w:r>
        <w:t xml:space="preserve"> </w:t>
      </w:r>
      <m:oMath>
        <m:r>
          <m:t>ψ</m:t>
        </m:r>
      </m:oMath>
      <w:r>
        <w:t xml:space="preserve">. Holding</w:t>
      </w:r>
      <w:r>
        <w:t xml:space="preserve"> </w:t>
      </w:r>
      <m:oMath>
        <m:r>
          <m:t>μ</m:t>
        </m:r>
      </m:oMath>
      <w:r>
        <w:t xml:space="preserve"> </w:t>
      </w:r>
      <w:r>
        <w:t xml:space="preserve">fixed,</w:t>
      </w:r>
      <w:r>
        <w:t xml:space="preserve"> </w:t>
      </w:r>
      <m:oMath>
        <m:sSub>
          <m:e>
            <m:r>
              <m:t>Π</m:t>
            </m:r>
          </m:e>
          <m:sub>
            <m:r>
              <m:t>R</m:t>
            </m:r>
            <m:r>
              <m:t>θ</m:t>
            </m:r>
          </m:sub>
        </m:sSub>
        <m:r>
          <m:rPr>
            <m:sty m:val="p"/>
          </m:rPr>
          <m:t>=</m:t>
        </m:r>
        <m:r>
          <m:rPr>
            <m:sty m:val="p"/>
          </m:rPr>
          <m:t>−</m:t>
        </m:r>
        <m:r>
          <m:t>n</m:t>
        </m:r>
        <m:r>
          <m:t> </m:t>
        </m:r>
        <m:r>
          <m:rPr>
            <m:sty m:val="p"/>
          </m:rPr>
          <m:t>∂</m:t>
        </m:r>
        <m:r>
          <m:t>E</m:t>
        </m:r>
        <m:d>
          <m:dPr>
            <m:begChr m:val="["/>
            <m:endChr m:val="]"/>
            <m:sepChr m:val=""/>
            <m:grow/>
          </m:dPr>
          <m:e>
            <m:r>
              <m:t>m</m:t>
            </m:r>
          </m:e>
        </m:d>
        <m:r>
          <m:rPr>
            <m:sty m:val="p"/>
          </m:rPr>
          <m:t>/</m:t>
        </m:r>
        <m:r>
          <m:rPr>
            <m:sty m:val="p"/>
          </m:rPr>
          <m:t>∂</m:t>
        </m:r>
        <m:r>
          <m:t>R</m:t>
        </m:r>
        <m:r>
          <m:rPr>
            <m:sty m:val="p"/>
          </m:rPr>
          <m:t>&gt;</m:t>
        </m:r>
        <m:r>
          <m:t>0</m:t>
        </m:r>
      </m:oMath>
      <w:r>
        <w:t xml:space="preserve">.</w:t>
      </w:r>
      <w:r>
        <w:t xml:space="preserve"> </w:t>
      </w:r>
      <m:oMath>
        <m:r>
          <m:rPr>
            <m:sty m:val="p"/>
          </m:rPr>
          <m:t>▫</m:t>
        </m:r>
      </m:oMath>
    </w:p>
    <w:p>
      <w:pPr>
        <w:pStyle w:val="BodyText"/>
      </w:pPr>
      <w:r>
        <w:rPr>
          <w:bCs/>
          <w:b/>
        </w:rPr>
        <w:t xml:space="preserve">Proof of Proposition 9.</w:t>
      </w:r>
      <w:r>
        <w:t xml:space="preserve"> </w:t>
      </w:r>
      <w:r>
        <w:t xml:space="preserve">At the symmetric point every type chooses each owner with probability</w:t>
      </w:r>
      <w:r>
        <w:t xml:space="preserve"> </w:t>
      </w:r>
      <m:oMath>
        <m:r>
          <m:t>φ</m:t>
        </m:r>
        <m:d>
          <m:dPr>
            <m:begChr m:val="("/>
            <m:endChr m:val=")"/>
            <m:sepChr m:val=""/>
            <m:grow/>
          </m:dPr>
          <m:e>
            <m:r>
              <m:t>v</m:t>
            </m:r>
          </m:e>
        </m:d>
        <m:r>
          <m:rPr>
            <m:sty m:val="p"/>
          </m:rPr>
          <m:t>=</m:t>
        </m:r>
        <m:r>
          <m:t>1</m:t>
        </m:r>
        <m:r>
          <m:rPr>
            <m:sty m:val="p"/>
          </m:rPr>
          <m:t>/</m:t>
        </m:r>
        <m:r>
          <m:t>2</m:t>
        </m:r>
      </m:oMath>
      <w:r>
        <w:t xml:space="preserve">, so the price first-order condition</w:t>
      </w:r>
      <w:r>
        <w:t xml:space="preserve"> </w:t>
      </w:r>
      <m:oMath>
        <m:r>
          <m:t>p</m:t>
        </m:r>
        <m:r>
          <m:rPr>
            <m:sty m:val="p"/>
          </m:rPr>
          <m:t>=</m:t>
        </m:r>
        <m:r>
          <m:t>η</m:t>
        </m:r>
        <m:r>
          <m:t>E</m:t>
        </m:r>
        <m:d>
          <m:dPr>
            <m:begChr m:val="["/>
            <m:endChr m:val="]"/>
            <m:sepChr m:val=""/>
            <m:grow/>
          </m:dPr>
          <m:e>
            <m:r>
              <m:t>φ</m:t>
            </m:r>
          </m:e>
        </m:d>
        <m:r>
          <m:rPr>
            <m:sty m:val="p"/>
          </m:rPr>
          <m:t>/</m:t>
        </m:r>
        <m:r>
          <m:t>E</m:t>
        </m:r>
        <m:d>
          <m:dPr>
            <m:begChr m:val="["/>
            <m:endChr m:val="]"/>
            <m:sepChr m:val=""/>
            <m:grow/>
          </m:dPr>
          <m:e>
            <m:r>
              <m:t>φ</m:t>
            </m:r>
            <m:d>
              <m:dPr>
                <m:begChr m:val="("/>
                <m:endChr m:val=")"/>
                <m:sepChr m:val=""/>
                <m:grow/>
              </m:dPr>
              <m:e>
                <m:r>
                  <m:t>1</m:t>
                </m:r>
                <m:r>
                  <m:rPr>
                    <m:sty m:val="p"/>
                  </m:rPr>
                  <m:t>−</m:t>
                </m:r>
                <m:r>
                  <m:t>φ</m:t>
                </m:r>
              </m:e>
            </m:d>
          </m:e>
        </m:d>
      </m:oMath>
      <w:r>
        <w:t xml:space="preserve"> </w:t>
      </w:r>
      <w:r>
        <w:t xml:space="preserve">gives</w:t>
      </w:r>
      <w:r>
        <w:t xml:space="preserve"> </w:t>
      </w:r>
      <m:oMath>
        <m:r>
          <m:t>p</m:t>
        </m:r>
        <m:r>
          <m:rPr>
            <m:sty m:val="p"/>
          </m:rPr>
          <m:t>=</m:t>
        </m:r>
        <m:r>
          <m:t>2</m:t>
        </m:r>
        <m:r>
          <m:t>η</m:t>
        </m:r>
      </m:oMath>
      <w:r>
        <w:t xml:space="preserve">. Raising</w:t>
      </w:r>
      <w:r>
        <w:t xml:space="preserve"> </w:t>
      </w:r>
      <m:oMath>
        <m:sSub>
          <m:e>
            <m:r>
              <m:t>μ</m:t>
            </m:r>
          </m:e>
          <m:sub>
            <m:r>
              <m:t>1</m:t>
            </m:r>
          </m:sub>
        </m:sSub>
      </m:oMath>
      <w:r>
        <w:t xml:space="preserve"> </w:t>
      </w:r>
      <w:r>
        <w:t xml:space="preserve">slightly gives</w:t>
      </w:r>
    </w:p>
    <w:p>
      <w:pPr>
        <w:pStyle w:val="BodyText"/>
      </w:pPr>
      <m:oMathPara>
        <m:oMathParaPr>
          <m:jc m:val="center"/>
        </m:oMathParaPr>
        <m:oMath>
          <m:f>
            <m:fPr>
              <m:type m:val="bar"/>
            </m:fPr>
            <m:num>
              <m:r>
                <m:rPr>
                  <m:sty m:val="p"/>
                </m:rPr>
                <m:t>∂</m:t>
              </m:r>
              <m:r>
                <m:t>E</m:t>
              </m:r>
              <m:d>
                <m:dPr>
                  <m:begChr m:val="["/>
                  <m:endChr m:val="]"/>
                  <m:sepChr m:val=""/>
                  <m:grow/>
                </m:dPr>
                <m:e>
                  <m:r>
                    <m:t>φ</m:t>
                  </m:r>
                </m:e>
              </m:d>
            </m:num>
            <m:den>
              <m:r>
                <m:rPr>
                  <m:sty m:val="p"/>
                </m:rPr>
                <m:t>∂</m:t>
              </m:r>
              <m:sSub>
                <m:e>
                  <m:r>
                    <m:t>μ</m:t>
                  </m:r>
                </m:e>
                <m:sub>
                  <m:r>
                    <m:t>1</m:t>
                  </m:r>
                </m:sub>
              </m:sSub>
            </m:den>
          </m:f>
          <m:r>
            <m:rPr>
              <m:sty m:val="p"/>
            </m:rPr>
            <m:t>=</m:t>
          </m:r>
          <m:f>
            <m:fPr>
              <m:type m:val="bar"/>
            </m:fPr>
            <m:num>
              <m:r>
                <m:t>E</m:t>
              </m:r>
              <m:d>
                <m:dPr>
                  <m:begChr m:val="["/>
                  <m:endChr m:val="]"/>
                  <m:sepChr m:val=""/>
                  <m:grow/>
                </m:dPr>
                <m:e>
                  <m:sSub>
                    <m:e>
                      <m:r>
                        <m:t>s</m:t>
                      </m:r>
                    </m:e>
                    <m:sub>
                      <m:r>
                        <m:t>μ</m:t>
                      </m:r>
                    </m:sub>
                  </m:sSub>
                </m:e>
              </m:d>
            </m:num>
            <m:den>
              <m:r>
                <m:t>4</m:t>
              </m:r>
              <m:r>
                <m:t>η</m:t>
              </m:r>
            </m:den>
          </m:f>
          <m:r>
            <m:rPr>
              <m:sty m:val="p"/>
            </m:rPr>
            <m:t>,</m:t>
          </m:r>
          <m:r>
            <m:t>  </m:t>
          </m:r>
          <m:f>
            <m:fPr>
              <m:type m:val="bar"/>
            </m:fPr>
            <m:num>
              <m:r>
                <m:rPr>
                  <m:sty m:val="p"/>
                </m:rPr>
                <m:t>∂</m:t>
              </m:r>
              <m:r>
                <m:t>E</m:t>
              </m:r>
              <m:d>
                <m:dPr>
                  <m:begChr m:val="["/>
                  <m:endChr m:val="]"/>
                  <m:sepChr m:val=""/>
                  <m:grow/>
                </m:dPr>
                <m:e>
                  <m:r>
                    <m:t>φ</m:t>
                  </m:r>
                  <m:d>
                    <m:dPr>
                      <m:begChr m:val="("/>
                      <m:endChr m:val=")"/>
                      <m:sepChr m:val=""/>
                      <m:grow/>
                    </m:dPr>
                    <m:e>
                      <m:r>
                        <m:t>1</m:t>
                      </m:r>
                      <m:r>
                        <m:rPr>
                          <m:sty m:val="p"/>
                        </m:rPr>
                        <m:t>−</m:t>
                      </m:r>
                      <m:r>
                        <m:t>φ</m:t>
                      </m:r>
                    </m:e>
                  </m:d>
                </m:e>
              </m:d>
            </m:num>
            <m:den>
              <m:r>
                <m:rPr>
                  <m:sty m:val="p"/>
                </m:rPr>
                <m:t>∂</m:t>
              </m:r>
              <m:sSub>
                <m:e>
                  <m:r>
                    <m:t>μ</m:t>
                  </m:r>
                </m:e>
                <m:sub>
                  <m:r>
                    <m:t>1</m:t>
                  </m:r>
                </m:sub>
              </m:sSub>
            </m:den>
          </m:f>
          <m:r>
            <m:rPr>
              <m:sty m:val="p"/>
            </m:rPr>
            <m:t>=</m:t>
          </m:r>
          <m:r>
            <m:t>0</m:t>
          </m:r>
          <m:r>
            <m:rPr>
              <m:sty m:val="p"/>
            </m:rPr>
            <m:t>.</m:t>
          </m:r>
        </m:oMath>
      </m:oMathPara>
    </w:p>
    <w:p>
      <w:pPr>
        <w:pStyle w:val="FirstParagraph"/>
      </w:pPr>
      <w:r>
        <w:t xml:space="preserve">To first order the price subgame responds as if every firm received the same quality advantage</w:t>
      </w:r>
      <w:r>
        <w:t xml:space="preserve"> </w:t>
      </w:r>
      <m:oMath>
        <m:r>
          <m:t>d</m:t>
        </m:r>
        <m:r>
          <m:t>δ</m:t>
        </m:r>
        <m:r>
          <m:rPr>
            <m:sty m:val="p"/>
          </m:rPr>
          <m:t>=</m:t>
        </m:r>
        <m:r>
          <m:t>E</m:t>
        </m:r>
        <m:d>
          <m:dPr>
            <m:begChr m:val="["/>
            <m:endChr m:val="]"/>
            <m:sepChr m:val=""/>
            <m:grow/>
          </m:dPr>
          <m:e>
            <m:sSub>
              <m:e>
                <m:r>
                  <m:t>s</m:t>
                </m:r>
              </m:e>
              <m:sub>
                <m:r>
                  <m:t>μ</m:t>
                </m:r>
              </m:sub>
            </m:sSub>
          </m:e>
        </m:d>
        <m:r>
          <m:t> </m:t>
        </m:r>
        <m:r>
          <m:t>d</m:t>
        </m:r>
        <m:sSub>
          <m:e>
            <m:r>
              <m:t>μ</m:t>
            </m:r>
          </m:e>
          <m:sub>
            <m:r>
              <m:t>1</m:t>
            </m:r>
          </m:sub>
        </m:sSub>
      </m:oMath>
      <w:r>
        <w:t xml:space="preserve">. In a logit duopoly a quality advantage</w:t>
      </w:r>
      <w:r>
        <w:t xml:space="preserve"> </w:t>
      </w:r>
      <m:oMath>
        <m:r>
          <m:t>d</m:t>
        </m:r>
        <m:r>
          <m:t>δ</m:t>
        </m:r>
      </m:oMath>
      <w:r>
        <w:t xml:space="preserve"> </w:t>
      </w:r>
      <w:r>
        <w:t xml:space="preserve">yields</w:t>
      </w:r>
      <w:r>
        <w:t xml:space="preserve"> </w:t>
      </w:r>
      <m:oMath>
        <m:r>
          <m:t>d</m:t>
        </m:r>
        <m:d>
          <m:dPr>
            <m:begChr m:val="("/>
            <m:endChr m:val=")"/>
            <m:sepChr m:val=""/>
            <m:grow/>
          </m:dPr>
          <m:e>
            <m:sSub>
              <m:e>
                <m:r>
                  <m:t>p</m:t>
                </m:r>
              </m:e>
              <m:sub>
                <m:r>
                  <m:t>1</m:t>
                </m:r>
              </m:sub>
            </m:sSub>
            <m:r>
              <m:rPr>
                <m:sty m:val="p"/>
              </m:rPr>
              <m:t>−</m:t>
            </m:r>
            <m:sSub>
              <m:e>
                <m:r>
                  <m:t>p</m:t>
                </m:r>
              </m:e>
              <m:sub>
                <m:r>
                  <m:t>2</m:t>
                </m:r>
              </m:sub>
            </m:sSub>
          </m:e>
        </m:d>
        <m:r>
          <m:rPr>
            <m:sty m:val="p"/>
          </m:rPr>
          <m:t>=</m:t>
        </m:r>
        <m:d>
          <m:dPr>
            <m:begChr m:val="("/>
            <m:endChr m:val=")"/>
            <m:sepChr m:val=""/>
            <m:grow/>
          </m:dPr>
          <m:e>
            <m:r>
              <m:t>2</m:t>
            </m:r>
            <m:r>
              <m:rPr>
                <m:sty m:val="p"/>
              </m:rPr>
              <m:t>/</m:t>
            </m:r>
            <m:r>
              <m:t>3</m:t>
            </m:r>
          </m:e>
        </m:d>
        <m:r>
          <m:t>d</m:t>
        </m:r>
        <m:r>
          <m:t>δ</m:t>
        </m:r>
      </m:oMath>
      <w:r>
        <w:t xml:space="preserve">,</w:t>
      </w:r>
      <w:r>
        <w:t xml:space="preserve"> </w:t>
      </w:r>
      <m:oMath>
        <m:r>
          <m:t>d</m:t>
        </m:r>
        <m:sSub>
          <m:e>
            <m:r>
              <m:t>p</m:t>
            </m:r>
          </m:e>
          <m:sub>
            <m:r>
              <m:t>1</m:t>
            </m:r>
          </m:sub>
        </m:sSub>
        <m:r>
          <m:rPr>
            <m:sty m:val="p"/>
          </m:rPr>
          <m:t>=</m:t>
        </m:r>
        <m:r>
          <m:t>d</m:t>
        </m:r>
        <m:r>
          <m:t>δ</m:t>
        </m:r>
        <m:r>
          <m:rPr>
            <m:sty m:val="p"/>
          </m:rPr>
          <m:t>/</m:t>
        </m:r>
        <m:r>
          <m:t>3</m:t>
        </m:r>
      </m:oMath>
      <w:r>
        <w:t xml:space="preserve"> </w:t>
      </w:r>
      <w:r>
        <w:t xml:space="preserve">and</w:t>
      </w:r>
      <w:r>
        <w:t xml:space="preserve"> </w:t>
      </w:r>
      <m:oMath>
        <m:r>
          <m:t>d</m:t>
        </m:r>
        <m:sSub>
          <m:e>
            <m:r>
              <m:t>φ</m:t>
            </m:r>
          </m:e>
          <m:sub>
            <m:r>
              <m:t>1</m:t>
            </m:r>
          </m:sub>
        </m:sSub>
        <m:r>
          <m:rPr>
            <m:sty m:val="p"/>
          </m:rPr>
          <m:t>=</m:t>
        </m:r>
        <m:r>
          <m:t>d</m:t>
        </m:r>
        <m:r>
          <m:t>δ</m:t>
        </m:r>
        <m:r>
          <m:rPr>
            <m:sty m:val="p"/>
          </m:rPr>
          <m:t>/</m:t>
        </m:r>
        <m:d>
          <m:dPr>
            <m:begChr m:val="("/>
            <m:endChr m:val=")"/>
            <m:sepChr m:val=""/>
            <m:grow/>
          </m:dPr>
          <m:e>
            <m:r>
              <m:t>12</m:t>
            </m:r>
            <m:r>
              <m:t>η</m:t>
            </m:r>
          </m:e>
        </m:d>
      </m:oMath>
      <w:r>
        <w:t xml:space="preserve">. Enterprise profit therefore changes by</w:t>
      </w:r>
      <w:r>
        <w:t xml:space="preserve"> </w:t>
      </w:r>
      <m:oMath>
        <m:r>
          <m:t>φ</m:t>
        </m:r>
        <m:r>
          <m:t> </m:t>
        </m:r>
        <m:r>
          <m:t>d</m:t>
        </m:r>
        <m:sSub>
          <m:e>
            <m:r>
              <m:t>p</m:t>
            </m:r>
          </m:e>
          <m:sub>
            <m:r>
              <m:t>1</m:t>
            </m:r>
          </m:sub>
        </m:sSub>
        <m:r>
          <m:rPr>
            <m:sty m:val="p"/>
          </m:rPr>
          <m:t>+</m:t>
        </m:r>
        <m:sSub>
          <m:e>
            <m:r>
              <m:t>p</m:t>
            </m:r>
          </m:e>
          <m:sub>
            <m:r>
              <m:t>1</m:t>
            </m:r>
          </m:sub>
        </m:sSub>
        <m:r>
          <m:t> </m:t>
        </m:r>
        <m:r>
          <m:t>d</m:t>
        </m:r>
        <m:sSub>
          <m:e>
            <m:r>
              <m:t>φ</m:t>
            </m:r>
          </m:e>
          <m:sub>
            <m:r>
              <m:t>1</m:t>
            </m:r>
          </m:sub>
        </m:sSub>
        <m:r>
          <m:rPr>
            <m:sty m:val="p"/>
          </m:rPr>
          <m:t>=</m:t>
        </m:r>
        <m:r>
          <m:t>d</m:t>
        </m:r>
        <m:r>
          <m:t>δ</m:t>
        </m:r>
        <m:r>
          <m:rPr>
            <m:sty m:val="p"/>
          </m:rPr>
          <m:t>/</m:t>
        </m:r>
        <m:r>
          <m:t>3</m:t>
        </m:r>
      </m:oMath>
      <w:r>
        <w:t xml:space="preserve">. The race term contributes</w:t>
      </w:r>
      <w:r>
        <w:t xml:space="preserve"> </w:t>
      </w:r>
      <m:oMath>
        <m:r>
          <m:t>H</m:t>
        </m:r>
        <m:r>
          <m:rPr>
            <m:sty m:val="p"/>
          </m:rPr>
          <m:t>/</m:t>
        </m:r>
        <m:d>
          <m:dPr>
            <m:begChr m:val="("/>
            <m:endChr m:val=")"/>
            <m:sepChr m:val=""/>
            <m:grow/>
          </m:dPr>
          <m:e>
            <m:r>
              <m:t>4</m:t>
            </m:r>
            <m:r>
              <m:t>μ</m:t>
            </m:r>
          </m:e>
        </m:d>
      </m:oMath>
      <w:r>
        <w:t xml:space="preserve"> </w:t>
      </w:r>
      <w:r>
        <w:t xml:space="preserve">at the symmetric point.</w:t>
      </w:r>
      <w:r>
        <w:t xml:space="preserve"> </w:t>
      </w:r>
      <m:oMath>
        <m:r>
          <m:rPr>
            <m:sty m:val="p"/>
          </m:rPr>
          <m:t>▫</m:t>
        </m:r>
      </m:oMath>
    </w:p>
    <w:p>
      <w:pPr>
        <w:pStyle w:val="BodyText"/>
      </w:pPr>
      <w:r>
        <w:rPr>
          <w:bCs/>
          <w:b/>
        </w:rPr>
        <w:t xml:space="preserve">Proof of Proposition 10.</w:t>
      </w:r>
      <w:r>
        <w:t xml:space="preserve"> </w:t>
      </w:r>
      <w:r>
        <w:t xml:space="preserve">At the symmetric point the planner’s marginal welfare per owner is</w:t>
      </w:r>
      <w:r>
        <w:t xml:space="preserve"> </w:t>
      </w:r>
      <m:oMath>
        <m:r>
          <m:t>a</m:t>
        </m:r>
        <m:r>
          <m:rPr>
            <m:sty m:val="p"/>
          </m:rPr>
          <m:t>+</m:t>
        </m:r>
        <m:d>
          <m:dPr>
            <m:begChr m:val="("/>
            <m:endChr m:val=")"/>
            <m:sepChr m:val=""/>
            <m:grow/>
          </m:dPr>
          <m:e>
            <m:r>
              <m:t>n</m:t>
            </m:r>
            <m:r>
              <m:rPr>
                <m:sty m:val="p"/>
              </m:rPr>
              <m:t>/</m:t>
            </m:r>
            <m:r>
              <m:t>2</m:t>
            </m:r>
          </m:e>
        </m:d>
        <m:r>
          <m:t>E</m:t>
        </m:r>
        <m:d>
          <m:dPr>
            <m:begChr m:val="["/>
            <m:endChr m:val="]"/>
            <m:sepChr m:val=""/>
            <m:grow/>
          </m:dPr>
          <m:e>
            <m:sSub>
              <m:e>
                <m:r>
                  <m:t>s</m:t>
                </m:r>
              </m:e>
              <m:sub>
                <m:r>
                  <m:t>μ</m:t>
                </m:r>
              </m:sub>
            </m:sSub>
          </m:e>
        </m:d>
        <m:r>
          <m:rPr>
            <m:sty m:val="p"/>
          </m:rPr>
          <m:t>−</m:t>
        </m:r>
        <m:r>
          <m:t>c</m:t>
        </m:r>
        <m:r>
          <m:t>μ</m:t>
        </m:r>
      </m:oMath>
      <w:r>
        <w:t xml:space="preserve">. Substituting</w:t>
      </w:r>
      <w:r>
        <w:t xml:space="preserve"> </w:t>
      </w:r>
      <m:oMath>
        <m:r>
          <m:t>c</m:t>
        </m:r>
        <m:sSup>
          <m:e>
            <m:r>
              <m:t>μ</m:t>
            </m:r>
          </m:e>
          <m:sup>
            <m:r>
              <m:rPr>
                <m:sty m:val="p"/>
              </m:rPr>
              <m:t>*</m:t>
            </m:r>
          </m:sup>
        </m:sSup>
      </m:oMath>
      <w:r>
        <w:t xml:space="preserve"> </w:t>
      </w:r>
      <w:r>
        <w:t xml:space="preserve">from Proposition 9 gives</w:t>
      </w:r>
      <w:r>
        <w:t xml:space="preserve"> </w:t>
      </w:r>
      <m:oMath>
        <m:r>
          <m:t>a</m:t>
        </m:r>
        <m:r>
          <m:rPr>
            <m:sty m:val="p"/>
          </m:rPr>
          <m:t>+</m:t>
        </m:r>
        <m:d>
          <m:dPr>
            <m:begChr m:val="("/>
            <m:endChr m:val=")"/>
            <m:sepChr m:val=""/>
            <m:grow/>
          </m:dPr>
          <m:e>
            <m:r>
              <m:t>n</m:t>
            </m:r>
            <m:r>
              <m:rPr>
                <m:sty m:val="p"/>
              </m:rPr>
              <m:t>/</m:t>
            </m:r>
            <m:r>
              <m:t>6</m:t>
            </m:r>
          </m:e>
        </m:d>
        <m:r>
          <m:t>E</m:t>
        </m:r>
        <m:d>
          <m:dPr>
            <m:begChr m:val="["/>
            <m:endChr m:val="]"/>
            <m:sepChr m:val=""/>
            <m:grow/>
          </m:dPr>
          <m:e>
            <m:sSub>
              <m:e>
                <m:r>
                  <m:t>s</m:t>
                </m:r>
              </m:e>
              <m:sub>
                <m:r>
                  <m:t>μ</m:t>
                </m:r>
              </m:sub>
            </m:sSub>
          </m:e>
        </m:d>
        <m:r>
          <m:rPr>
            <m:sty m:val="p"/>
          </m:rPr>
          <m:t>−</m:t>
        </m:r>
        <m:r>
          <m:t>H</m:t>
        </m:r>
        <m:r>
          <m:rPr>
            <m:sty m:val="p"/>
          </m:rPr>
          <m:t>/</m:t>
        </m:r>
        <m:d>
          <m:dPr>
            <m:begChr m:val="("/>
            <m:endChr m:val=")"/>
            <m:sepChr m:val=""/>
            <m:grow/>
          </m:dPr>
          <m:e>
            <m:r>
              <m:t>4</m:t>
            </m:r>
            <m:sSup>
              <m:e>
                <m:r>
                  <m:t>μ</m:t>
                </m:r>
              </m:e>
              <m:sup>
                <m:r>
                  <m:rPr>
                    <m:sty m:val="p"/>
                  </m:rPr>
                  <m:t>*</m:t>
                </m:r>
              </m:sup>
            </m:sSup>
          </m:e>
        </m:d>
      </m:oMath>
      <w:r>
        <w:t xml:space="preserve">, which is negative if and only if</w:t>
      </w:r>
      <w:r>
        <w:t xml:space="preserve"> </w:t>
      </w:r>
      <m:oMath>
        <m:sSup>
          <m:e>
            <m:r>
              <m:t>μ</m:t>
            </m:r>
          </m:e>
          <m:sup>
            <m:r>
              <m:rPr>
                <m:sty m:val="p"/>
              </m:rPr>
              <m:t>*</m:t>
            </m:r>
          </m:sup>
        </m:sSup>
        <m:r>
          <m:rPr>
            <m:sty m:val="p"/>
          </m:rPr>
          <m:t>&gt;</m:t>
        </m:r>
        <m:sSub>
          <m:e>
            <m:r>
              <m:t>μ</m:t>
            </m:r>
          </m:e>
          <m:sub>
            <m:r>
              <m:t>P</m:t>
            </m:r>
          </m:sub>
        </m:sSub>
      </m:oMath>
      <w:r>
        <w:t xml:space="preserve"> </w:t>
      </w:r>
      <w:r>
        <w:t xml:space="preserve">when the planner’s objective is concave.</w:t>
      </w:r>
      <w:r>
        <w:t xml:space="preserve"> </w:t>
      </w:r>
      <m:oMath>
        <m:r>
          <m:rPr>
            <m:sty m:val="p"/>
          </m:rPr>
          <m:t>▫</m:t>
        </m:r>
      </m:oMath>
    </w:p>
    <w:p>
      <w:pPr>
        <w:pStyle w:val="BodyText"/>
      </w:pPr>
      <w:r>
        <w:rPr>
          <w:bCs/>
          <w:b/>
        </w:rPr>
        <w:t xml:space="preserve">Proof of Proposition 11.</w:t>
      </w:r>
      <w:r>
        <w:t xml:space="preserve"> </w:t>
      </w:r>
      <w:r>
        <w:t xml:space="preserve">Let</w:t>
      </w:r>
      <w:r>
        <w:t xml:space="preserve"> </w:t>
      </w:r>
      <m:oMath>
        <m:r>
          <m:t>Φ</m:t>
        </m:r>
        <m:d>
          <m:dPr>
            <m:begChr m:val="("/>
            <m:endChr m:val=")"/>
            <m:sepChr m:val=""/>
            <m:grow/>
          </m:dPr>
          <m:e>
            <m:r>
              <m:t>μ</m:t>
            </m:r>
            <m:r>
              <m:rPr>
                <m:sty m:val="p"/>
              </m:rPr>
              <m:t>,</m:t>
            </m:r>
            <m:r>
              <m:t>R</m:t>
            </m:r>
          </m:e>
        </m:d>
      </m:oMath>
      <w:r>
        <w:t xml:space="preserve"> </w:t>
      </w:r>
      <w:r>
        <w:t xml:space="preserve">be the left-hand side of the duopoly first-order condition.</w:t>
      </w:r>
      <w:r>
        <w:t xml:space="preserve"> </w:t>
      </w:r>
      <m:oMath>
        <m:sSub>
          <m:e>
            <m:r>
              <m:t>Φ</m:t>
            </m:r>
          </m:e>
          <m:sub>
            <m:r>
              <m:t>R</m:t>
            </m:r>
          </m:sub>
        </m:sSub>
        <m:r>
          <m:rPr>
            <m:sty m:val="p"/>
          </m:rPr>
          <m:t>=</m:t>
        </m:r>
        <m:r>
          <m:rPr>
            <m:sty m:val="p"/>
          </m:rPr>
          <m:t>−</m:t>
        </m:r>
        <m:d>
          <m:dPr>
            <m:begChr m:val="("/>
            <m:endChr m:val=")"/>
            <m:sepChr m:val=""/>
            <m:grow/>
          </m:dPr>
          <m:e>
            <m:r>
              <m:t>n</m:t>
            </m:r>
            <m:r>
              <m:rPr>
                <m:sty m:val="p"/>
              </m:rPr>
              <m:t>/</m:t>
            </m:r>
            <m:r>
              <m:t>3</m:t>
            </m:r>
          </m:e>
        </m:d>
        <m:r>
          <m:t> </m:t>
        </m:r>
        <m:sSup>
          <m:e>
            <m:r>
              <m:rPr>
                <m:sty m:val="p"/>
              </m:rPr>
              <m:t>∂</m:t>
            </m:r>
          </m:e>
          <m:sup>
            <m:r>
              <m:t>2</m:t>
            </m:r>
          </m:sup>
        </m:sSup>
        <m:r>
          <m:t>E</m:t>
        </m:r>
        <m:d>
          <m:dPr>
            <m:begChr m:val="["/>
            <m:endChr m:val="]"/>
            <m:sepChr m:val=""/>
            <m:grow/>
          </m:dPr>
          <m:e>
            <m:r>
              <m:t>m</m:t>
            </m:r>
          </m:e>
        </m:d>
        <m:r>
          <m:rPr>
            <m:sty m:val="p"/>
          </m:rPr>
          <m:t>/</m:t>
        </m:r>
        <m:r>
          <m:rPr>
            <m:sty m:val="p"/>
          </m:rPr>
          <m:t>∂</m:t>
        </m:r>
        <m:r>
          <m:t>μ</m:t>
        </m:r>
        <m:r>
          <m:t> </m:t>
        </m:r>
        <m:r>
          <m:rPr>
            <m:sty m:val="p"/>
          </m:rPr>
          <m:t>∂</m:t>
        </m:r>
        <m:r>
          <m:t>R</m:t>
        </m:r>
        <m:r>
          <m:rPr>
            <m:sty m:val="p"/>
          </m:rPr>
          <m:t>&gt;</m:t>
        </m:r>
        <m:r>
          <m:t>0</m:t>
        </m:r>
      </m:oMath>
      <w:r>
        <w:t xml:space="preserve"> </w:t>
      </w:r>
      <w:r>
        <w:t xml:space="preserve">by the proof of Proposition 6. Apply the implicit function theorem with</w:t>
      </w:r>
      <w:r>
        <w:t xml:space="preserve"> </w:t>
      </w:r>
      <m:oMath>
        <m:sSub>
          <m:e>
            <m:r>
              <m:t>Φ</m:t>
            </m:r>
          </m:e>
          <m:sub>
            <m:r>
              <m:t>μ</m:t>
            </m:r>
          </m:sub>
        </m:sSub>
        <m:r>
          <m:rPr>
            <m:sty m:val="p"/>
          </m:rPr>
          <m:t>&lt;</m:t>
        </m:r>
        <m:r>
          <m:t>0</m:t>
        </m:r>
      </m:oMath>
      <w:r>
        <w:t xml:space="preserve">. The comparison of slopes follows from</w:t>
      </w:r>
      <w:r>
        <w:t xml:space="preserve"> </w:t>
      </w:r>
      <m:oMath>
        <m:r>
          <m:t>E</m:t>
        </m:r>
        <m:d>
          <m:dPr>
            <m:begChr m:val="["/>
            <m:endChr m:val="]"/>
            <m:sepChr m:val=""/>
            <m:grow/>
          </m:dPr>
          <m:e>
            <m:sSub>
              <m:e>
                <m:r>
                  <m:t>s</m:t>
                </m:r>
              </m:e>
              <m:sub>
                <m:r>
                  <m:t>μ</m:t>
                </m:r>
                <m:r>
                  <m:t>μ</m:t>
                </m:r>
              </m:sub>
            </m:sSub>
          </m:e>
        </m:d>
        <m:r>
          <m:rPr>
            <m:sty m:val="p"/>
          </m:rPr>
          <m:t>&gt;</m:t>
        </m:r>
        <m:r>
          <m:t>0</m:t>
        </m:r>
      </m:oMath>
      <w:r>
        <w:t xml:space="preserve"> </w:t>
      </w:r>
      <w:r>
        <w:t xml:space="preserve">(convexity of</w:t>
      </w:r>
      <w:r>
        <w:t xml:space="preserve"> </w:t>
      </w:r>
      <m:oMath>
        <m:r>
          <m:t>s</m:t>
        </m:r>
      </m:oMath>
      <w:r>
        <w:t xml:space="preserve"> </w:t>
      </w:r>
      <w:r>
        <w:t xml:space="preserve">in</w:t>
      </w:r>
      <w:r>
        <w:t xml:space="preserve"> </w:t>
      </w:r>
      <m:oMath>
        <m:r>
          <m:t>μ</m:t>
        </m:r>
      </m:oMath>
      <w:r>
        <w:t xml:space="preserve"> </w:t>
      </w:r>
      <w:r>
        <w:t xml:space="preserve">for retraining firms, and the race term).</w:t>
      </w:r>
      <w:r>
        <w:t xml:space="preserve"> </w:t>
      </w:r>
      <m:oMath>
        <m:r>
          <m:rPr>
            <m:sty m:val="p"/>
          </m:rPr>
          <m:t>▫</m:t>
        </m:r>
      </m:oMath>
    </w:p>
    <w:p>
      <w:pPr>
        <w:pStyle w:val="BodyText"/>
      </w:pPr>
      <w:r>
        <w:t xml:space="preserve">Proposition 12 is a grid search, not a proof. The two-period switching extension in Section 7.3 is a first-order characterization, not an equilibrium existence theorem.</w:t>
      </w:r>
    </w:p>
    <w:bookmarkEnd w:id="42"/>
    <w:bookmarkStart w:id="43" w:name="X73743ec89cd3668a7c72495198c509c295815b4"/>
    <w:p>
      <w:pPr>
        <w:pStyle w:val="Heading2"/>
      </w:pPr>
      <w:r>
        <w:t xml:space="preserve">Appendix B. Online Appendix: Calibration Pairs</w:t>
      </w:r>
    </w:p>
    <w:p>
      <w:pPr>
        <w:pStyle w:val="FirstParagraph"/>
      </w:pPr>
      <w:r>
        <w:t xml:space="preserve">The following table is the measurement used to pin</w:t>
      </w:r>
      <w:r>
        <w:t xml:space="preserve"> </w:t>
      </w:r>
      <m:oMath>
        <m:d>
          <m:dPr>
            <m:begChr m:val="("/>
            <m:endChr m:val=")"/>
            <m:sepChr m:val=""/>
            <m:grow/>
          </m:dPr>
          <m:e>
            <m:r>
              <m:t>R</m:t>
            </m:r>
            <m:r>
              <m:rPr>
                <m:sty m:val="p"/>
              </m:rPr>
              <m:t>,</m:t>
            </m:r>
            <m:r>
              <m:t>C</m:t>
            </m:r>
          </m:e>
        </m:d>
      </m:oMath>
      <w:r>
        <w:t xml:space="preserve"> </w:t>
      </w:r>
      <w:r>
        <w:t xml:space="preserve">in Section 3.3. Models have 160M to 0.5B parameters, one task (GSM8K), one seed, and a short CPU training budget. Recovery is</w:t>
      </w:r>
      <w:r>
        <w:t xml:space="preserve"> </w:t>
      </w:r>
      <m:oMath>
        <m:r>
          <m:t>R</m:t>
        </m:r>
        <m:r>
          <m:rPr>
            <m:sty m:val="p"/>
          </m:rPr>
          <m:t>=</m:t>
        </m:r>
        <m:d>
          <m:dPr>
            <m:begChr m:val="("/>
            <m:endChr m:val=")"/>
            <m:sepChr m:val=""/>
            <m:grow/>
          </m:dPr>
          <m:e>
            <m:sSub>
              <m:e>
                <m:r>
                  <m:t>L</m:t>
                </m:r>
              </m:e>
              <m:sub>
                <m:r>
                  <m:t>0</m:t>
                </m:r>
              </m:sub>
            </m:sSub>
            <m:r>
              <m:rPr>
                <m:sty m:val="p"/>
              </m:rPr>
              <m:t>−</m:t>
            </m:r>
            <m:sSub>
              <m:e>
                <m:r>
                  <m:t>L</m:t>
                </m:r>
              </m:e>
              <m:sub>
                <m:r>
                  <m:t>m</m:t>
                </m:r>
              </m:sub>
            </m:sSub>
          </m:e>
        </m:d>
        <m:r>
          <m:rPr>
            <m:sty m:val="p"/>
          </m:rPr>
          <m:t>/</m:t>
        </m:r>
        <m:d>
          <m:dPr>
            <m:begChr m:val="("/>
            <m:endChr m:val=")"/>
            <m:sepChr m:val=""/>
            <m:grow/>
          </m:dPr>
          <m:e>
            <m:sSub>
              <m:e>
                <m:r>
                  <m:t>L</m:t>
                </m:r>
              </m:e>
              <m:sub>
                <m:r>
                  <m:t>0</m:t>
                </m:r>
              </m:sub>
            </m:sSub>
            <m:r>
              <m:rPr>
                <m:sty m:val="p"/>
              </m:rPr>
              <m:t>−</m:t>
            </m:r>
            <m:sSub>
              <m:e>
                <m:r>
                  <m:t>L</m:t>
                </m:r>
              </m:e>
              <m:sub>
                <m:r>
                  <m:rPr>
                    <m:nor/>
                    <m:sty m:val="p"/>
                  </m:rPr>
                  <m:t>retrain</m:t>
                </m:r>
              </m:sub>
            </m:sSub>
          </m:e>
        </m:d>
      </m:oMath>
      <w:r>
        <w:t xml:space="preserve"> </w:t>
      </w:r>
      <w:r>
        <w:t xml:space="preserve">on held-out negative log-likelihood. These are calibration inputs, not production estimates.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Pair</w:t>
            </w:r>
          </w:p>
        </w:tc>
        <w:tc>
          <w:tcPr/>
          <w:p>
            <w:pPr>
              <w:pStyle w:val="Compact"/>
              <w:jc w:val="right"/>
            </w:pPr>
            <m:oMath>
              <m:sSub>
                <m:e>
                  <m:r>
                    <m:t>R</m:t>
                  </m:r>
                </m:e>
                <m:sub>
                  <m:r>
                    <m:t>C</m:t>
                  </m:r>
                </m:sub>
              </m:sSub>
            </m:oMath>
          </w:p>
        </w:tc>
        <w:tc>
          <w:tcPr/>
          <w:p>
            <w:pPr>
              <w:pStyle w:val="Compact"/>
              <w:jc w:val="right"/>
            </w:pPr>
            <m:oMath>
              <m:sSub>
                <m:e>
                  <m:r>
                    <m:t>R</m:t>
                  </m:r>
                </m:e>
                <m:sub>
                  <m:r>
                    <m:t>A</m:t>
                  </m:r>
                </m:sub>
              </m:sSub>
            </m:oMath>
          </w:p>
        </w:tc>
        <w:tc>
          <w:tcPr/>
          <w:p>
            <w:pPr>
              <w:pStyle w:val="Compact"/>
              <w:jc w:val="right"/>
            </w:pPr>
            <m:oMath>
              <m:sSub>
                <m:e>
                  <m:r>
                    <m:t>C</m:t>
                  </m:r>
                </m:e>
                <m:sub>
                  <m:r>
                    <m:t>A</m:t>
                  </m:r>
                </m:sub>
              </m:sSub>
              <m:r>
                <m:rPr>
                  <m:sty m:val="p"/>
                </m:rPr>
                <m:t>/</m:t>
              </m:r>
              <m:sSub>
                <m:e>
                  <m:r>
                    <m:t>C</m:t>
                  </m:r>
                </m:e>
                <m:sub>
                  <m:r>
                    <m:t>N</m:t>
                  </m:r>
                </m:sub>
              </m:sSub>
            </m:oMath>
          </w:p>
        </w:tc>
      </w:tr>
      <w:tr>
        <w:tc>
          <w:tcPr/>
          <w:p>
            <w:pPr>
              <w:pStyle w:val="Compact"/>
              <w:jc w:val="left"/>
            </w:pPr>
            <w:r>
              <w:t xml:space="preserve">Pythia-160M, +10k steps</w:t>
            </w:r>
          </w:p>
        </w:tc>
        <w:tc>
          <w:tcPr/>
          <w:p>
            <w:pPr>
              <w:pStyle w:val="Compact"/>
              <w:jc w:val="right"/>
            </w:pPr>
            <w:r>
              <w:t xml:space="preserve">0.945</w:t>
            </w:r>
          </w:p>
        </w:tc>
        <w:tc>
          <w:tcPr/>
          <w:p>
            <w:pPr>
              <w:pStyle w:val="Compact"/>
              <w:jc w:val="right"/>
            </w:pPr>
            <w:r>
              <w:t xml:space="preserve">0.941</w:t>
            </w:r>
          </w:p>
        </w:tc>
        <w:tc>
          <w:tcPr/>
          <w:p>
            <w:pPr>
              <w:pStyle w:val="Compact"/>
              <w:jc w:val="right"/>
            </w:pPr>
            <w:r>
              <w:t xml:space="preserve">0.358</w:t>
            </w:r>
          </w:p>
        </w:tc>
      </w:tr>
      <w:tr>
        <w:tc>
          <w:tcPr/>
          <w:p>
            <w:pPr>
              <w:pStyle w:val="Compact"/>
              <w:jc w:val="left"/>
            </w:pPr>
            <w:r>
              <w:t xml:space="preserve">Pythia-160M, +30k steps</w:t>
            </w:r>
          </w:p>
        </w:tc>
        <w:tc>
          <w:tcPr/>
          <w:p>
            <w:pPr>
              <w:pStyle w:val="Compact"/>
              <w:jc w:val="right"/>
            </w:pPr>
            <w:r>
              <w:t xml:space="preserve">0.940</w:t>
            </w:r>
          </w:p>
        </w:tc>
        <w:tc>
          <w:tcPr/>
          <w:p>
            <w:pPr>
              <w:pStyle w:val="Compact"/>
              <w:jc w:val="right"/>
            </w:pPr>
            <w:r>
              <w:t xml:space="preserve">0.952</w:t>
            </w:r>
          </w:p>
        </w:tc>
        <w:tc>
          <w:tcPr/>
          <w:p>
            <w:pPr>
              <w:pStyle w:val="Compact"/>
              <w:jc w:val="right"/>
            </w:pPr>
            <w:r>
              <w:t xml:space="preserve">0.348</w:t>
            </w:r>
          </w:p>
        </w:tc>
      </w:tr>
      <w:tr>
        <w:tc>
          <w:tcPr/>
          <w:p>
            <w:pPr>
              <w:pStyle w:val="Compact"/>
              <w:jc w:val="left"/>
            </w:pPr>
            <w:r>
              <w:t xml:space="preserve">Pythia-160M, +70k steps</w:t>
            </w:r>
          </w:p>
        </w:tc>
        <w:tc>
          <w:tcPr/>
          <w:p>
            <w:pPr>
              <w:pStyle w:val="Compact"/>
              <w:jc w:val="right"/>
            </w:pPr>
            <w:r>
              <w:t xml:space="preserve">0.051</w:t>
            </w:r>
          </w:p>
        </w:tc>
        <w:tc>
          <w:tcPr/>
          <w:p>
            <w:pPr>
              <w:pStyle w:val="Compact"/>
              <w:jc w:val="right"/>
            </w:pPr>
            <w:r>
              <w:t xml:space="preserve">0.500</w:t>
            </w:r>
          </w:p>
        </w:tc>
        <w:tc>
          <w:tcPr/>
          <w:p>
            <w:pPr>
              <w:pStyle w:val="Compact"/>
              <w:jc w:val="right"/>
            </w:pPr>
            <w:r>
              <w:t xml:space="preserve">0.334</w:t>
            </w:r>
          </w:p>
        </w:tc>
      </w:tr>
      <w:tr>
        <w:tc>
          <w:tcPr/>
          <w:p>
            <w:pPr>
              <w:pStyle w:val="Compact"/>
              <w:jc w:val="left"/>
            </w:pPr>
            <w:r>
              <w:t xml:space="preserve">SmolLM2-360M, Base → Instruct</w:t>
            </w:r>
          </w:p>
        </w:tc>
        <w:tc>
          <w:tcPr/>
          <w:p>
            <w:pPr>
              <w:pStyle w:val="Compact"/>
              <w:jc w:val="right"/>
            </w:pPr>
            <w:r>
              <w:t xml:space="preserve">0.703</w:t>
            </w:r>
          </w:p>
        </w:tc>
        <w:tc>
          <w:tcPr/>
          <w:p>
            <w:pPr>
              <w:pStyle w:val="Compact"/>
              <w:jc w:val="right"/>
            </w:pPr>
            <w:r>
              <w:t xml:space="preserve">0.698</w:t>
            </w:r>
          </w:p>
        </w:tc>
        <w:tc>
          <w:tcPr/>
          <w:p>
            <w:pPr>
              <w:pStyle w:val="Compact"/>
              <w:jc w:val="right"/>
            </w:pPr>
            <w:r>
              <w:t xml:space="preserve">0.612</w:t>
            </w:r>
          </w:p>
        </w:tc>
      </w:tr>
      <w:tr>
        <w:tc>
          <w:tcPr/>
          <w:p>
            <w:pPr>
              <w:pStyle w:val="Compact"/>
              <w:jc w:val="left"/>
            </w:pPr>
            <w:r>
              <w:t xml:space="preserve">Qwen2.5-0.5B, Base → Instruct</w:t>
            </w:r>
          </w:p>
        </w:tc>
        <w:tc>
          <w:tcPr/>
          <w:p>
            <w:pPr>
              <w:pStyle w:val="Compact"/>
              <w:jc w:val="right"/>
            </w:pPr>
            <w:r>
              <w:t xml:space="preserve">0.630</w:t>
            </w:r>
          </w:p>
        </w:tc>
        <w:tc>
          <w:tcPr/>
          <w:p>
            <w:pPr>
              <w:pStyle w:val="Compact"/>
              <w:jc w:val="right"/>
            </w:pPr>
            <w:r>
              <w:t xml:space="preserve">0.658</w:t>
            </w:r>
          </w:p>
        </w:tc>
        <w:tc>
          <w:tcPr/>
          <w:p>
            <w:pPr>
              <w:pStyle w:val="Compact"/>
              <w:jc w:val="right"/>
            </w:pPr>
            <w:r>
              <w:t xml:space="preserve">0.433</w:t>
            </w:r>
          </w:p>
        </w:tc>
      </w:tr>
    </w:tbl>
    <w:p>
      <w:pPr>
        <w:pStyle w:val="BodyText"/>
      </w:pPr>
      <w:r>
        <w:rPr>
          <w:iCs/>
          <w:i/>
        </w:rPr>
        <w:t xml:space="preserve">Table B.1. Recovery rates and compute-only cost ratios on five open model pairs.</w:t>
      </w:r>
    </w:p>
    <w:p>
      <w:pPr>
        <w:pStyle w:val="BodyText"/>
      </w:pPr>
      <w:r>
        <w:t xml:space="preserve">The calibration method matches, at each layer, the change in hidden activations that the source adapter produces on unlabeled inputs, with a ridge term that anchors the solution to naive copy. As the ridge diverges the method equals copy. Cost is forward passes plus per-layer linear algebra. Full protocol: public checkpoints from EleutherAI/pythia-160m (steps 73000, 113000, 133000 → 143000), HuggingFaceTB/SmolLM2-360M, and Qwen/Qwen2.5-0.5B; rank-8 LoRA on every linear layer in the decoder; 500 GSM8K training problems; 300 AdamW steps; 128 unlabeled calibration prompts.</w:t>
      </w:r>
    </w:p>
    <w:bookmarkEnd w:id="43"/>
    <w:bookmarkStart w:id="44" w:name="appendix-c.-date-verification"/>
    <w:p>
      <w:pPr>
        <w:pStyle w:val="Heading2"/>
      </w:pPr>
      <w:r>
        <w:t xml:space="preserve">Appendix C. Date Verification</w:t>
      </w:r>
    </w:p>
    <w:p>
      <w:pPr>
        <w:pStyle w:val="FirstParagraph"/>
      </w:pPr>
      <w:r>
        <w:t xml:space="preserve">Window end: 28 September 2026. Primary definition: new version of the family’s main general-purpose text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Version</w:t>
            </w:r>
          </w:p>
        </w:tc>
        <w:tc>
          <w:tcPr/>
          <w:p>
            <w:pPr>
              <w:pStyle w:val="Compact"/>
              <w:jc w:val="left"/>
            </w:pPr>
            <w:r>
              <w:t xml:space="preserve">Date</w:t>
            </w:r>
          </w:p>
        </w:tc>
        <w:tc>
          <w:tcPr/>
          <w:p>
            <w:pPr>
              <w:pStyle w:val="Compact"/>
              <w:jc w:val="left"/>
            </w:pPr>
            <w:r>
              <w:t xml:space="preserve">Check</w:t>
            </w:r>
          </w:p>
        </w:tc>
      </w:tr>
      <w:tr>
        <w:tc>
          <w:tcPr/>
          <w:p>
            <w:pPr>
              <w:pStyle w:val="Compact"/>
              <w:jc w:val="left"/>
            </w:pPr>
            <w:r>
              <w:t xml:space="preserve">Llama</w:t>
            </w:r>
          </w:p>
        </w:tc>
        <w:tc>
          <w:tcPr/>
          <w:p>
            <w:pPr>
              <w:pStyle w:val="Compact"/>
              <w:jc w:val="left"/>
            </w:pPr>
            <w:r>
              <w:t xml:space="preserve">Llama 3.3</w:t>
            </w:r>
          </w:p>
        </w:tc>
        <w:tc>
          <w:tcPr/>
          <w:p>
            <w:pPr>
              <w:pStyle w:val="Compact"/>
              <w:jc w:val="left"/>
            </w:pPr>
            <w:r>
              <w:t xml:space="preserve">2024-12-06</w:t>
            </w:r>
          </w:p>
        </w:tc>
        <w:tc>
          <w:tcPr/>
          <w:p>
            <w:pPr>
              <w:pStyle w:val="Compact"/>
              <w:jc w:val="left"/>
            </w:pPr>
            <w:r>
              <w:t xml:space="preserve">Confirmed (Meta AI, 6 Dec 2024)</w:t>
            </w:r>
          </w:p>
        </w:tc>
      </w:tr>
      <w:tr>
        <w:tc>
          <w:tcPr/>
          <w:p>
            <w:pPr>
              <w:pStyle w:val="Compact"/>
              <w:jc w:val="left"/>
            </w:pPr>
            <w:r>
              <w:t xml:space="preserve">Gemma</w:t>
            </w:r>
          </w:p>
        </w:tc>
        <w:tc>
          <w:tcPr/>
          <w:p>
            <w:pPr>
              <w:pStyle w:val="Compact"/>
              <w:jc w:val="left"/>
            </w:pPr>
            <w:r>
              <w:t xml:space="preserve">Gemma 4</w:t>
            </w:r>
          </w:p>
        </w:tc>
        <w:tc>
          <w:tcPr/>
          <w:p>
            <w:pPr>
              <w:pStyle w:val="Compact"/>
              <w:jc w:val="left"/>
            </w:pPr>
            <w:r>
              <w:t xml:space="preserve">2026-04-02</w:t>
            </w:r>
          </w:p>
        </w:tc>
        <w:tc>
          <w:tcPr/>
          <w:p>
            <w:pPr>
              <w:pStyle w:val="Compact"/>
              <w:jc w:val="left"/>
            </w:pPr>
            <w:r>
              <w:t xml:space="preserve">Confirmed (Google AI / press, 2 Apr 2026)</w:t>
            </w:r>
          </w:p>
        </w:tc>
      </w:tr>
      <w:tr>
        <w:tc>
          <w:tcPr/>
          <w:p>
            <w:pPr>
              <w:pStyle w:val="Compact"/>
              <w:jc w:val="left"/>
            </w:pPr>
            <w:r>
              <w:t xml:space="preserve">DeepSeek</w:t>
            </w:r>
          </w:p>
        </w:tc>
        <w:tc>
          <w:tcPr/>
          <w:p>
            <w:pPr>
              <w:pStyle w:val="Compact"/>
              <w:jc w:val="left"/>
            </w:pPr>
            <w:r>
              <w:t xml:space="preserve">V4.1-Flash</w:t>
            </w:r>
          </w:p>
        </w:tc>
        <w:tc>
          <w:tcPr/>
          <w:p>
            <w:pPr>
              <w:pStyle w:val="Compact"/>
              <w:jc w:val="left"/>
            </w:pPr>
            <w:r>
              <w:t xml:space="preserve">2026-09-10</w:t>
            </w:r>
          </w:p>
        </w:tc>
        <w:tc>
          <w:tcPr/>
          <w:p>
            <w:pPr>
              <w:pStyle w:val="Compact"/>
              <w:jc w:val="left"/>
            </w:pPr>
            <w:r>
              <w:t xml:space="preserve">Confirmed (DeepSeek API changelog)</w:t>
            </w:r>
          </w:p>
        </w:tc>
      </w:tr>
      <w:tr>
        <w:tc>
          <w:tcPr/>
          <w:p>
            <w:pPr>
              <w:pStyle w:val="Compact"/>
              <w:jc w:val="left"/>
            </w:pPr>
            <w:r>
              <w:t xml:space="preserve">Other rows</w:t>
            </w:r>
          </w:p>
        </w:tc>
        <w:tc>
          <w:tcPr/>
          <w:p>
            <w:pPr>
              <w:pStyle w:val="Compact"/>
              <w:jc w:val="left"/>
            </w:pPr>
            <w:r>
              <w:t xml:space="preserve">—</w:t>
            </w:r>
          </w:p>
        </w:tc>
        <w:tc>
          <w:tcPr/>
          <w:p>
            <w:pPr>
              <w:pStyle w:val="Compact"/>
              <w:jc w:val="left"/>
            </w:pPr>
            <w:r>
              <w:t xml:space="preserve">source list</w:t>
            </w:r>
          </w:p>
        </w:tc>
        <w:tc>
          <w:tcPr/>
          <w:p>
            <w:pPr>
              <w:pStyle w:val="Compact"/>
              <w:jc w:val="left"/>
            </w:pPr>
            <w:r>
              <w:t xml:space="preserve">Dates as listed in the replication package</w:t>
            </w:r>
          </w:p>
        </w:tc>
      </w:tr>
    </w:tbl>
    <w:p>
      <w:pPr>
        <w:pStyle w:val="BodyText"/>
      </w:pPr>
      <w:r>
        <w:t xml:space="preserve">Classification retained: LLaMA 1 research-license weights counted as origin; instruct-only twins and extra sizes excluded from primary; QwQ, DeepSeek-R1, and refreshed checkpoints counted only under the broad definition.</w:t>
      </w:r>
    </w:p>
    <w:bookmarkEnd w:id="44"/>
    <w:bookmarkStart w:id="45" w:name="appendix-d.-replication-materials"/>
    <w:p>
      <w:pPr>
        <w:pStyle w:val="Heading2"/>
      </w:pPr>
      <w:r>
        <w:t xml:space="preserve">Appendix D. Replication Materials</w:t>
      </w:r>
    </w:p>
    <w:p>
      <w:pPr>
        <w:pStyle w:val="FirstParagraph"/>
      </w:pPr>
      <w:r>
        <w:t xml:space="preserve">The replication package contains the release-history file, the intensity-estimation script, the robustness script, the owner-model and dynamic-threshold scripts, the figure script, and saved numerical output. It does not contain weights or training logs from the five small-model pairs; those are calibration inputs described in Appendix B. No proprietary or subscription data are used. An anonymized copy of the package will be provided to reviewers on request.</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Sets the Clock? Release Cadence, Compatibility Tools, and the Maintenance of Complementary Assets on Foundation-Model Platforms</dc:title>
  <dc:creator/>
  <cp:keywords/>
  <dcterms:created xsi:type="dcterms:W3CDTF">2026-10-29T05:06:57Z</dcterms:created>
  <dcterms:modified xsi:type="dcterms:W3CDTF">2026-10-29T05:06:57Z</dcterms:modified>
</cp:coreProperties>
</file>

<file path=docProps/custom.xml><?xml version="1.0" encoding="utf-8"?>
<Properties xmlns="http://schemas.openxmlformats.org/officeDocument/2006/custom-properties" xmlns:vt="http://schemas.openxmlformats.org/officeDocument/2006/docPropsVTypes"/>
</file>