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200" w:line="360"/>
        <w:jc w:val="center"/>
      </w:pPr>
      <w:r>
        <w:rPr>
          <w:rFonts w:ascii="Times New Roman" w:cs="Times New Roman" w:eastAsia="Times New Roman" w:hAnsi="Times New Roman"/>
          <w:b/>
          <w:bCs/>
          <w:sz w:val="32"/>
          <w:szCs w:val="32"/>
        </w:rPr>
        <w:t xml:space="preserve">Operational Readiness for LLM Hallucinations: A Capacity Model for Human Triage and Guardrail Cascades</w:t>
      </w:r>
    </w:p>
    <w:p>
      <w:pPr>
        <w:spacing w:after="360"/>
        <w:jc w:val="center"/>
      </w:pPr>
      <w:r>
        <w:rPr>
          <w:rFonts w:ascii="Times New Roman" w:cs="Times New Roman" w:eastAsia="Times New Roman" w:hAnsi="Times New Roman"/>
          <w:i/>
          <w:iCs/>
          <w:sz w:val="22"/>
          <w:szCs w:val="22"/>
        </w:rPr>
        <w:t xml:space="preserve">Manuscript for double-blind review</w:t>
      </w:r>
    </w:p>
    <w:p>
      <w:pPr>
        <w:spacing w:after="120"/>
        <w:jc w:val="center"/>
      </w:pPr>
      <w:r>
        <w:rPr>
          <w:rFonts w:ascii="Times New Roman" w:cs="Times New Roman" w:eastAsia="Times New Roman" w:hAnsi="Times New Roman"/>
          <w:b/>
          <w:bCs/>
          <w:sz w:val="24"/>
          <w:szCs w:val="24"/>
        </w:rPr>
        <w:t xml:space="preserve">Abstract</w:t>
      </w:r>
    </w:p>
    <w:p>
      <w:pPr>
        <w:spacing w:after="0" w:line="480"/>
        <w:ind w:firstLine="0"/>
        <w:jc w:val="left"/>
      </w:pPr>
      <w:r>
        <w:rPr>
          <w:rFonts w:ascii="Times New Roman" w:cs="Times New Roman" w:eastAsia="Times New Roman" w:hAnsi="Times New Roman"/>
          <w:sz w:val="24"/>
          <w:szCs w:val="24"/>
        </w:rPr>
        <w:t xml:space="preserve">Organisations that place large language models (LLMs) in front of customers must decide how many people to keep on standby for hallucinations that get through, and how many guardrail layers to put ahead of them. Practice often sizes the team at the mean incident load and credits each layer with its stand-alone catch rate, as if layers failed independently. We propose a capacity-planning artifact that sets standby capacity at a quantile of the daily count of human-handled incidents, corrects it for over-dispersion, bounds a cascade's residual rate without assuming independence, and models failure classes with different counting processes. We evaluate it on the outputs of three small open models passed through three guardrail layers, with simulated arrivals and public traces of an LLM service, provider incidents, company tickets and court-case hallucinations. One task-specific verifier cut required capacity by 78 to 95% but blocked 15 to 71% of correct answers; a routed LLM judge did not demonstrably pay for itself. Mild day-to-day variation in demand sufficed for Poisson-sized plans to be exceeded on 23 to 32% of days without guardrails. Arrivals are simulated and no operator log of hallucinations is public, so the numbers illustrate the method rather than predict production.</w:t>
      </w:r>
    </w:p>
    <w:p>
      <w:pPr>
        <w:spacing w:before="200" w:line="3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LLM operations, hallucination, guardrails, capacity planning, over-dispersion, counting processes, design science</w:t>
      </w:r>
    </w:p>
    <w:p>
      <w:r>
        <w:br w:type="page"/>
      </w:r>
    </w:p>
    <w:p>
      <w:pPr>
        <w:pStyle w:val="Heading1"/>
        <w:keepNext/>
        <w:spacing w:after="120" w:before="360" w:line="360"/>
      </w:pPr>
      <w:r>
        <w:rPr>
          <w:rFonts w:ascii="Times New Roman" w:cs="Times New Roman" w:eastAsia="Times New Roman" w:hAnsi="Times New Roman"/>
          <w:b/>
          <w:bCs/>
          <w:color w:val="000000"/>
          <w:sz w:val="24"/>
          <w:szCs w:val="24"/>
        </w:rPr>
        <w:t xml:space="preserve">1. Introduction</w:t>
      </w:r>
    </w:p>
    <w:p>
      <w:pPr>
        <w:spacing w:after="0" w:line="480"/>
        <w:ind w:firstLine="720"/>
        <w:jc w:val="left"/>
      </w:pPr>
      <w:r>
        <w:rPr>
          <w:rFonts w:ascii="Times New Roman" w:cs="Times New Roman" w:eastAsia="Times New Roman" w:hAnsi="Times New Roman"/>
          <w:sz w:val="24"/>
          <w:szCs w:val="24"/>
        </w:rPr>
        <w:t xml:space="preserve">Large language models (LLMs) now sit inside customer-facing and decision-support information systems, where an ungrounded answer is better understood as a service incident than as a lapse in output quality. A support assistant that invents a refund policy, or a drafting tool that cites a court decision that does not exist, creates work for someone: the answer has to be found, corrected, and sometimes explained to a customer or a regulator. Research on managing AI in organisations has so far concentrated on adoption, governance, and the division of tasks between people and machines (Berente et al. 2021; Raisch and Krakowski 2021). The operational question that follows deployment has received much less formal attention. If hallucinations arrive at random, how much human triage and verification capacity should an organisation keep in reserve, and how many automated guardrail layers should it place in front of the model?</w:t>
      </w:r>
    </w:p>
    <w:p>
      <w:pPr>
        <w:spacing w:after="0" w:line="480"/>
        <w:ind w:firstLine="720"/>
        <w:jc w:val="left"/>
      </w:pPr>
      <w:r>
        <w:rPr>
          <w:rFonts w:ascii="Times New Roman" w:cs="Times New Roman" w:eastAsia="Times New Roman" w:hAnsi="Times New Roman"/>
          <w:sz w:val="24"/>
          <w:szCs w:val="24"/>
        </w:rPr>
        <w:t xml:space="preserve">Practitioners tend to answer with two heuristics. The first provisions triage capacity at the mean incident load. The second credits every additional guardrail layer with its stand-alone effectiveness, as if layers failed independently, so that three layers that each catch 63% of hallucinations are assumed to leave about 5%. Both are easy to apply and both fail in predictable ways. Provisioning at the mean leaves even a perfectly Poisson workload short on between a quarter and a half of days once the rate reaches one event per day (Section 3.1), and in our replays it was exceeded on 28 to 49% of days. The independence product, as we show, is an optimistic bound whenever layers tend to fail on the same inputs.</w:t>
      </w:r>
    </w:p>
    <w:p>
      <w:pPr>
        <w:spacing w:after="0" w:line="480"/>
        <w:ind w:firstLine="720"/>
        <w:jc w:val="left"/>
      </w:pPr>
      <w:r>
        <w:rPr>
          <w:rFonts w:ascii="Times New Roman" w:cs="Times New Roman" w:eastAsia="Times New Roman" w:hAnsi="Times New Roman"/>
          <w:sz w:val="24"/>
          <w:szCs w:val="24"/>
        </w:rPr>
        <w:t xml:space="preserve">We ask three questions. First, how should standby capacity for human-handled hallucinations be set, and how does the requirement change when daily demand is more variable than a Poisson process allows? Second, how do guardrail layers change the requirement once their dependence and their costs in latency, false blocks and failures are taken into account, and how many layers are worth having? Third, do the counting-process assumptions behind the answers hold up on public data from comparable real streams?</w:t>
      </w:r>
    </w:p>
    <w:p>
      <w:pPr>
        <w:spacing w:after="0" w:line="480"/>
        <w:ind w:firstLine="720"/>
        <w:jc w:val="left"/>
      </w:pPr>
      <w:r>
        <w:rPr>
          <w:rFonts w:ascii="Times New Roman" w:cs="Times New Roman" w:eastAsia="Times New Roman" w:hAnsi="Times New Roman"/>
          <w:sz w:val="24"/>
          <w:szCs w:val="24"/>
        </w:rPr>
        <w:t xml:space="preserve">We address these questions in the design-science tradition (Hevner et al. 2004; Gregor and Hevner 2013). The artifact is a capacity-planning method. It sets standby capacity at a quantile of the daily count of human-handled incidents, corrects that quantile for over-dispersion, bounds the residual rate of a guardrail cascade without assuming independence, and describes the several kinds of failure that an LLM service produces with different counting processes. We ground the method in a formal model (Section 3) and evaluate it (Sections 4 and 5) on the measured outputs of three small open models that answered the same 300 SQuAD 2.0 questions through three executed guardrail layers. Arrival times are simulated, with day-to-day variability informed by public traces of an LLM service, of LLM providers' incidents, of company ticket systems and of court decisions involving fabricated citations. None of these traces, with the partial exception of the court-case database, records hallucinations, and we know of no public operator log that does.</w:t>
      </w:r>
    </w:p>
    <w:p>
      <w:pPr>
        <w:spacing w:after="0" w:line="480"/>
        <w:ind w:firstLine="720"/>
        <w:jc w:val="left"/>
      </w:pPr>
      <w:r>
        <w:rPr>
          <w:rFonts w:ascii="Times New Roman" w:cs="Times New Roman" w:eastAsia="Times New Roman" w:hAnsi="Times New Roman"/>
          <w:sz w:val="24"/>
          <w:szCs w:val="24"/>
        </w:rPr>
        <w:t xml:space="preserve">Three findings stand out. One task-specific verifier delivered most of the benefit of the cascade: it reduced required capacity by 78 to 95%, but it also blocked 15 to 71% of correct answers, and a routed LLM judge did not demonstrably pay for itself under a two-second fail-open timeout. The share of hallucinations that passed two layers was 1.3 to 1.6 times the independence prediction when both layers saw every answer and 1.9 to 2.3 times when routing hid some answers from the second layer, although the intervals are wide and, for two of the three generators, include one in the first case. And mild day-to-day variation in demand (a coefficient of variation between 0.3 and 0.44) was enough for a Poisson-sized plan to be exceeded on 23 to 32% of days without guardrails and on 7 to 16% of days with the best cascade, against a target of 5%.</w:t>
      </w:r>
    </w:p>
    <w:p>
      <w:pPr>
        <w:spacing w:after="0" w:line="480"/>
        <w:ind w:firstLine="720"/>
        <w:jc w:val="left"/>
      </w:pPr>
      <w:r>
        <w:rPr>
          <w:rFonts w:ascii="Times New Roman" w:cs="Times New Roman" w:eastAsia="Times New Roman" w:hAnsi="Times New Roman"/>
          <w:sz w:val="24"/>
          <w:szCs w:val="24"/>
        </w:rPr>
        <w:t xml:space="preserve">The paper makes four contributions, and we try to be clear about which parts apply known results. The quantile rule for staffing and the negative-binomial correction for over-dispersion are classical (Whitt 2007; Cameron and Trivedi 1998). Our contribution there is to apply them to the arrival stream of human-handled LLM incidents, to show how over-dispersion and thinning by guardrails enter the requirement (Propositions 2 and 3), and to test the counting-process assumptions on public streams. Second, we restate the multiplicative guardrail formula as the independence special case of Fréchet-type bounds on a cascade of arrival rates (Proposition 4). Dependence between defence layers has been measured on real stacks (Alotaibi et al. 2026) and the independence product is known to over-credit redundancy (Bhardwaj et al. 2026); we add a measurement for hallucination-grounding layers with uncertainty intervals and carry the correction through to the capacity decision. We also show that, once capacity is integer-valued, cost is generally not unimodal in the number of layers, with comparative statics in the ratio of labour to compute cost (Proposition 5). Third, we replace the single-Poisson description of "all failures" with a typed model in which hallucinations, provider incidents, serving failures and human service each follow the process that fits their mechanism (Proposition 6). Fourth, we report measured guardrail performance, layer dependence and latency together with fits of the typed model to public traces.</w:t>
      </w:r>
    </w:p>
    <w:p>
      <w:pPr>
        <w:spacing w:after="0" w:line="480"/>
        <w:ind w:firstLine="720"/>
        <w:jc w:val="left"/>
      </w:pPr>
      <w:r>
        <w:rPr>
          <w:rFonts w:ascii="Times New Roman" w:cs="Times New Roman" w:eastAsia="Times New Roman" w:hAnsi="Times New Roman"/>
          <w:sz w:val="24"/>
          <w:szCs w:val="24"/>
        </w:rPr>
        <w:t xml:space="preserve">In the terms of Gregor and Hevner (2013), the contribution is closest to an exaptation: known solutions are carried into a new problem domain, and a few new results (Propositions 3, 5 and 6) follow from the structure of that domain. To our knowledge, earlier work has not combined measured guardrail performance, an incident-count model with dispersion and clustering, and a quantile-based capacity decision in one evaluated framework, although each ingredient has precedents (Section 2). The evaluation has clear limits, which we set out in Section 6.3: arrivals are simulated, the models are small, and the task is extractive question answering. The numbers should therefore be read as an illustration of the method, and the method, together with its diagnostics, is what we expect to transfer.</w:t>
      </w:r>
    </w:p>
    <w:p>
      <w:pPr>
        <w:spacing w:after="0" w:line="480"/>
        <w:ind w:firstLine="720"/>
        <w:jc w:val="left"/>
      </w:pPr>
      <w:r>
        <w:rPr>
          <w:rFonts w:ascii="Times New Roman" w:cs="Times New Roman" w:eastAsia="Times New Roman" w:hAnsi="Times New Roman"/>
          <w:sz w:val="24"/>
          <w:szCs w:val="24"/>
        </w:rPr>
        <w:t xml:space="preserve">The remainder of the paper is organised as follows. Section 2 reviews related work. Section 3 develops the model. Section 4 describes the empirical design and Section 5 reports the findings. Section 6 discusses contributions, implications and limitations, and Section 7 concludes. Proofs, data details and supplementary tables are in the appendices.</w:t>
      </w:r>
    </w:p>
    <w:p>
      <w:pPr>
        <w:pStyle w:val="Heading1"/>
        <w:keepNext/>
        <w:spacing w:after="120" w:before="360" w:line="360"/>
      </w:pPr>
      <w:r>
        <w:rPr>
          <w:rFonts w:ascii="Times New Roman" w:cs="Times New Roman" w:eastAsia="Times New Roman" w:hAnsi="Times New Roman"/>
          <w:b/>
          <w:bCs/>
          <w:color w:val="000000"/>
          <w:sz w:val="24"/>
          <w:szCs w:val="24"/>
        </w:rPr>
        <w:t xml:space="preserve">2. Background and Related Work</w:t>
      </w:r>
    </w:p>
    <w:p>
      <w:pPr>
        <w:pStyle w:val="Heading2"/>
        <w:keepNext/>
        <w:spacing w:after="60" w:before="240" w:line="360"/>
      </w:pPr>
      <w:r>
        <w:rPr>
          <w:rFonts w:ascii="Times New Roman" w:cs="Times New Roman" w:eastAsia="Times New Roman" w:hAnsi="Times New Roman"/>
          <w:b/>
          <w:bCs/>
          <w:i/>
          <w:iCs/>
          <w:color w:val="000000"/>
          <w:sz w:val="24"/>
          <w:szCs w:val="24"/>
        </w:rPr>
        <w:t xml:space="preserve">2.1 Managing AI and human oversight</w:t>
      </w:r>
    </w:p>
    <w:p>
      <w:pPr>
        <w:spacing w:after="0" w:line="480"/>
        <w:ind w:firstLine="720"/>
        <w:jc w:val="left"/>
      </w:pPr>
      <w:r>
        <w:rPr>
          <w:rFonts w:ascii="Times New Roman" w:cs="Times New Roman" w:eastAsia="Times New Roman" w:hAnsi="Times New Roman"/>
          <w:sz w:val="24"/>
          <w:szCs w:val="24"/>
        </w:rPr>
        <w:t xml:space="preserve">Berente et al. (2021) argue that AI creates managerial problems that earlier information technologies did not, because of its autonomy, its capacity to learn and its inscrutability. A related stream examines how organisations divide work between people and AI systems, and describes a tension between automating tasks and augmenting human judgement (Raisch and Krakowski 2021). Human review of AI output sits at the centre of both. Yet this work says little about how large the human reserve needs to be, which is a question of quantities (headcount, response time, risk of overload) that depend on how failures arrive.</w:t>
      </w:r>
    </w:p>
    <w:p>
      <w:pPr>
        <w:pStyle w:val="Heading2"/>
        <w:keepNext/>
        <w:spacing w:after="60" w:before="240" w:line="360"/>
      </w:pPr>
      <w:r>
        <w:rPr>
          <w:rFonts w:ascii="Times New Roman" w:cs="Times New Roman" w:eastAsia="Times New Roman" w:hAnsi="Times New Roman"/>
          <w:b/>
          <w:bCs/>
          <w:i/>
          <w:iCs/>
          <w:color w:val="000000"/>
          <w:sz w:val="24"/>
          <w:szCs w:val="24"/>
        </w:rPr>
        <w:t xml:space="preserve">2.2 Hallucination and its mitigation</w:t>
      </w:r>
    </w:p>
    <w:p>
      <w:pPr>
        <w:spacing w:after="0" w:line="480"/>
        <w:ind w:firstLine="720"/>
        <w:jc w:val="left"/>
      </w:pPr>
      <w:r>
        <w:rPr>
          <w:rFonts w:ascii="Times New Roman" w:cs="Times New Roman" w:eastAsia="Times New Roman" w:hAnsi="Times New Roman"/>
          <w:sz w:val="24"/>
          <w:szCs w:val="24"/>
        </w:rPr>
        <w:t xml:space="preserve">Hallucination, the generation of content that is wrong or not supported by the source, is documented as a pervasive property of neural text generation (Ji et al. 2023). Mitigation work includes retrieval grounding (Lewis et al. 2020), consistency checks based on repeated sampling (Manakul et al. 2023), safeguard classifiers (Inan et al. 2023) and verification by an LLM acting as judge (Zheng et al. 2023). This literature evaluates detectors by accuracy. It does not ask how a detector's accuracy translates into the human capacity an organisation must hold, which is the translation we attempt.</w:t>
      </w:r>
    </w:p>
    <w:p>
      <w:pPr>
        <w:pStyle w:val="Heading2"/>
        <w:keepNext/>
        <w:spacing w:after="60" w:before="240" w:line="360"/>
      </w:pPr>
      <w:r>
        <w:rPr>
          <w:rFonts w:ascii="Times New Roman" w:cs="Times New Roman" w:eastAsia="Times New Roman" w:hAnsi="Times New Roman"/>
          <w:b/>
          <w:bCs/>
          <w:i/>
          <w:iCs/>
          <w:color w:val="000000"/>
          <w:sz w:val="24"/>
          <w:szCs w:val="24"/>
        </w:rPr>
        <w:t xml:space="preserve">2.3 Capacity under random demand</w:t>
      </w:r>
    </w:p>
    <w:p>
      <w:pPr>
        <w:spacing w:after="0" w:line="480"/>
        <w:ind w:firstLine="720"/>
        <w:jc w:val="left"/>
      </w:pPr>
      <w:r>
        <w:rPr>
          <w:rFonts w:ascii="Times New Roman" w:cs="Times New Roman" w:eastAsia="Times New Roman" w:hAnsi="Times New Roman"/>
          <w:sz w:val="24"/>
          <w:szCs w:val="24"/>
        </w:rPr>
        <w:t xml:space="preserve">Sizing service capacity from the quantile of a Poisson count is standard practice in service operations (Whitt 2007), and time-varying demand is handled by piecewise-stationary staffing (Green et al. 2007). Empirical work on call centres finds that arrivals are Poisson only conditional on a random, day-specific rate, so that daily counts are over-dispersed (Brown et al. 2005), and count-data econometrics supplies the negative-binomial remedy (Cameron and Trivedi 1998). We import these tools into a new arrival stream and test whether the same caveats apply.</w:t>
      </w:r>
    </w:p>
    <w:p>
      <w:pPr>
        <w:pStyle w:val="Heading2"/>
        <w:keepNext/>
        <w:spacing w:after="60" w:before="240" w:line="360"/>
      </w:pPr>
      <w:r>
        <w:rPr>
          <w:rFonts w:ascii="Times New Roman" w:cs="Times New Roman" w:eastAsia="Times New Roman" w:hAnsi="Times New Roman"/>
          <w:b/>
          <w:bCs/>
          <w:i/>
          <w:iCs/>
          <w:color w:val="000000"/>
          <w:sz w:val="24"/>
          <w:szCs w:val="24"/>
        </w:rPr>
        <w:t xml:space="preserve">2.4 Queueing and counting-process models of AI work</w:t>
      </w:r>
    </w:p>
    <w:p>
      <w:pPr>
        <w:spacing w:after="0" w:line="480"/>
        <w:ind w:firstLine="720"/>
        <w:jc w:val="left"/>
      </w:pPr>
      <w:r>
        <w:rPr>
          <w:rFonts w:ascii="Times New Roman" w:cs="Times New Roman" w:eastAsia="Times New Roman" w:hAnsi="Times New Roman"/>
          <w:sz w:val="24"/>
          <w:szCs w:val="24"/>
        </w:rPr>
        <w:t xml:space="preserve">Several recent papers model human review of AI output. They include a Poisson escalation model with Erlang-C staffing for agent escalations (Besanson 2026), an M/G/1 model of reviewing AI drafts (Bartolucci and Vivo 2026) and a fluid-limit analysis of routing between an LLM judge and human review (Lin and Zhang 2026). These papers use mean-based stability or waiting-time criteria and assume, rather than test, Poisson arrivals. We size capacity at a quantile of the count distribution and test the arrival assumptions. On the failure side, a public-health-style analysis of AI incident databases finds strong over-dispersion relative to Poisson in counts of vehicle and deepfake incidents (Abraham et al. 2026), and a Markov reliability model of LLM agents reduces to the Goel-Okumoto software-reliability model when failures are rare (Tran-Truong and Le 2026). Neither concerns hallucinations or guardrail bypass, and neither applies time-rescaling tests or capacity sizing.</w:t>
      </w:r>
    </w:p>
    <w:p>
      <w:pPr>
        <w:pStyle w:val="Heading2"/>
        <w:keepNext/>
        <w:spacing w:after="60" w:before="240" w:line="360"/>
      </w:pPr>
      <w:r>
        <w:rPr>
          <w:rFonts w:ascii="Times New Roman" w:cs="Times New Roman" w:eastAsia="Times New Roman" w:hAnsi="Times New Roman"/>
          <w:b/>
          <w:bCs/>
          <w:i/>
          <w:iCs/>
          <w:color w:val="000000"/>
          <w:sz w:val="24"/>
          <w:szCs w:val="24"/>
        </w:rPr>
        <w:t xml:space="preserve">2.5 Layered defences</w:t>
      </w:r>
    </w:p>
    <w:p>
      <w:pPr>
        <w:spacing w:after="0" w:line="480"/>
        <w:ind w:firstLine="720"/>
        <w:jc w:val="left"/>
      </w:pPr>
      <w:r>
        <w:rPr>
          <w:rFonts w:ascii="Times New Roman" w:cs="Times New Roman" w:eastAsia="Times New Roman" w:hAnsi="Times New Roman"/>
          <w:sz w:val="24"/>
          <w:szCs w:val="24"/>
        </w:rPr>
        <w:t xml:space="preserve">The multiplicative formula for the residual rate of independent safeguards is standard in reliability engineering, and it over-credits redundancy when failures are positively associated (Esary et al. 1967). For LLM defence stacks, Alotaibi et al. (2026) measure positive failure correlation between seven defence layers (φ between 0.30 and 0.75 on JailbreakBench) and call the product a lower bound that no real stack attains. Bhardwaj et al. (2026) give a Fréchet-Hoeffding sandwich and find high co-failure among same-model components. Our dependence results are additional evidence in a different setting, hallucination-grounding layers, and not a first demonstration.</w:t>
      </w:r>
    </w:p>
    <w:p>
      <w:pPr>
        <w:pStyle w:val="Heading2"/>
        <w:keepNext/>
        <w:spacing w:after="60" w:before="240" w:line="360"/>
      </w:pPr>
      <w:r>
        <w:rPr>
          <w:rFonts w:ascii="Times New Roman" w:cs="Times New Roman" w:eastAsia="Times New Roman" w:hAnsi="Times New Roman"/>
          <w:b/>
          <w:bCs/>
          <w:i/>
          <w:iCs/>
          <w:color w:val="000000"/>
          <w:sz w:val="24"/>
          <w:szCs w:val="24"/>
        </w:rPr>
        <w:t xml:space="preserve">2.6 Gap</w:t>
      </w:r>
    </w:p>
    <w:p>
      <w:pPr>
        <w:spacing w:after="0" w:line="480"/>
        <w:ind w:firstLine="720"/>
        <w:jc w:val="left"/>
      </w:pPr>
      <w:r>
        <w:rPr>
          <w:rFonts w:ascii="Times New Roman" w:cs="Times New Roman" w:eastAsia="Times New Roman" w:hAnsi="Times New Roman"/>
          <w:sz w:val="24"/>
          <w:szCs w:val="24"/>
        </w:rPr>
        <w:t xml:space="preserve">Prior work therefore treats the pieces separately: arrival models for AI incidents, queueing for human review, measured layer dependence, and the cost and latency of guardrails. We combine them for LLM hallucination operations and evaluate the combination on measured outputs and public traces. The literature on LLM guardrails moved quickly during 2026, our search was not exhaustive, and similar work may exist.</w:t>
      </w:r>
    </w:p>
    <w:p>
      <w:pPr>
        <w:pStyle w:val="Heading1"/>
        <w:keepNext/>
        <w:spacing w:after="120" w:before="360" w:line="360"/>
      </w:pPr>
      <w:r>
        <w:rPr>
          <w:rFonts w:ascii="Times New Roman" w:cs="Times New Roman" w:eastAsia="Times New Roman" w:hAnsi="Times New Roman"/>
          <w:b/>
          <w:bCs/>
          <w:color w:val="000000"/>
          <w:sz w:val="24"/>
          <w:szCs w:val="24"/>
        </w:rPr>
        <w:t xml:space="preserve">3. Model</w:t>
      </w:r>
    </w:p>
    <w:p>
      <w:pPr>
        <w:pStyle w:val="Heading2"/>
        <w:keepNext/>
        <w:spacing w:after="60" w:before="240" w:line="360"/>
      </w:pPr>
      <w:r>
        <w:rPr>
          <w:rFonts w:ascii="Times New Roman" w:cs="Times New Roman" w:eastAsia="Times New Roman" w:hAnsi="Times New Roman"/>
          <w:b/>
          <w:bCs/>
          <w:i/>
          <w:iCs/>
          <w:color w:val="000000"/>
          <w:sz w:val="24"/>
          <w:szCs w:val="24"/>
        </w:rPr>
        <w:t xml:space="preserve">3.1 Arrivals of critical hallucinations</w:t>
      </w:r>
    </w:p>
    <w:p>
      <w:pPr>
        <w:spacing w:after="0" w:line="480"/>
        <w:ind w:firstLine="720"/>
        <w:jc w:val="left"/>
      </w:pPr>
      <w:r>
        <w:rPr>
          <w:rFonts w:ascii="Times New Roman" w:cs="Times New Roman" w:eastAsia="Times New Roman" w:hAnsi="Times New Roman"/>
          <w:sz w:val="24"/>
          <w:szCs w:val="24"/>
        </w:rPr>
        <w:t xml:space="preserve">Consider a service that receives queries at a time-varying rate Λ(t) with a daily cycle. Each query independently yields a hallucination, meaning an answer that is wrong or unsupported, with probability p₀, and a guardrail cascade may block some of these. We make three assumptions that are strong and that we revisit in Section 6.3. First, queries are independent given the arrival intensity. Second, every hallucination that passes the whole cascade is detected and becomes exactly one human-handled event that uses one unit of triage capacity. We call such an event a </w:t>
      </w:r>
      <w:r>
        <w:rPr>
          <w:rFonts w:ascii="Times New Roman" w:cs="Times New Roman" w:eastAsia="Times New Roman" w:hAnsi="Times New Roman"/>
          <w:i/>
          <w:iCs/>
          <w:sz w:val="24"/>
          <w:szCs w:val="24"/>
        </w:rPr>
        <w:t xml:space="preserve">critical hallucination</w:t>
      </w:r>
      <w:r>
        <w:rPr>
          <w:rFonts w:ascii="Times New Roman" w:cs="Times New Roman" w:eastAsia="Times New Roman" w:hAnsi="Times New Roman"/>
          <w:sz w:val="24"/>
          <w:szCs w:val="24"/>
        </w:rPr>
        <w:t xml:space="preserve"> and write q ≤ p₀ for the probability that a query produces one. Third, a unit of capacity clears one critical event per day.</w:t>
      </w:r>
    </w:p>
    <w:p>
      <w:pPr>
        <w:spacing w:after="0" w:line="480"/>
        <w:ind w:firstLine="720"/>
        <w:jc w:val="left"/>
      </w:pPr>
      <w:r>
        <w:rPr>
          <w:rFonts w:ascii="Times New Roman" w:cs="Times New Roman" w:eastAsia="Times New Roman" w:hAnsi="Times New Roman"/>
          <w:sz w:val="24"/>
          <w:szCs w:val="24"/>
        </w:rPr>
        <w:t xml:space="preserve">Under these assumptions the thinning theorem (Kingman 1993) implies that critical hallucinations form a non-homogeneous Poisson process (NHPP) with intensity qΛ(t). Let X_d be the number of events on day d, with mean λ = q∫Λ(t)dt taken over the day. Then X_d follows a Poisson(λ) distribution whatever the within-day shape of Λ; that shape matters only for hourly staffing, where the requirement for hour h is the quantile of Poisson(λ_h). The detection assumption deserves emphasis. If only a fraction δ of the hallucinations that survive is ever noticed and triaged, the event rate is δλ and, by Proposition 3, the dispersion index becomes 1 + δλc². The capacities we report are therefore upper bounds that hold for δ = 1, and detection is itself a point of failure that the model does not cover.</w:t>
      </w:r>
    </w:p>
    <w:p>
      <w:pPr>
        <w:spacing w:after="0" w:line="480"/>
        <w:ind w:firstLine="720"/>
        <w:jc w:val="left"/>
      </w:pPr>
      <w:r>
        <w:rPr>
          <w:rFonts w:ascii="Times New Roman" w:cs="Times New Roman" w:eastAsia="Times New Roman" w:hAnsi="Times New Roman"/>
          <w:sz w:val="24"/>
          <w:szCs w:val="24"/>
        </w:rPr>
        <w:t xml:space="preserve">Inter-arrival times are exponential only if the rate is constant. Under the NHPP, the time-rescaled gaps Λ̂(t_i) − Λ̂(t_{i−1}) are independent Exp(1) variables (the time-rescaling theorem; Ogata 1988; Daley and Vere-Jones 2003), which gives a goodness-of-fit test that we use in Section 5. If the daily rate is itself random, Λ_d = λM with E[M] = 1 and Var(M) = c², the daily count is a mixed Poisson variable with Var(X_d) = λ + λ²c² = λφ, where φ = 1 + λc² is the dispersion index. This is the Cox, or doubly stochastic, alternative to the pure Poisson null (Cox 1955; Cox and Isham 1980).</w:t>
      </w:r>
    </w:p>
    <w:p>
      <w:pPr>
        <w:spacing w:after="0" w:line="480"/>
        <w:ind w:firstLine="720"/>
        <w:jc w:val="left"/>
      </w:pPr>
      <w:r>
        <w:rPr>
          <w:rFonts w:ascii="Times New Roman" w:cs="Times New Roman" w:eastAsia="Times New Roman" w:hAnsi="Times New Roman"/>
          <w:sz w:val="24"/>
          <w:szCs w:val="24"/>
        </w:rPr>
        <w:t xml:space="preserve">For a reliability target α, the capacity requirement is the generalised inverse of the daily-count distribution:</w:t>
      </w:r>
    </w:p>
    <w:p>
      <w:pPr>
        <w:tabs>
          <w:tab w:val="center" w:pos="4680"/>
          <w:tab w:val="right" w:pos="9360"/>
        </w:tabs>
        <w:spacing w:after="120" w:before="120" w:line="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k∗(α, λ) = min { k ∈ ℕ₀ : P(X_d ≤ k) ≥ α }</w:t>
      </w:r>
      <w:r>
        <w:rPr>
          <w:rFonts w:ascii="Times New Roman" w:cs="Times New Roman" w:eastAsia="Times New Roman" w:hAnsi="Times New Roman"/>
          <w:sz w:val="24"/>
          <w:szCs w:val="24"/>
        </w:rPr>
        <w:t xml:space="preserve">	(1)</w:t>
      </w:r>
    </w:p>
    <w:p>
      <w:pPr>
        <w:pBdr>
          <w:left w:val="single" w:color="888888" w:sz="12" w:space="8"/>
        </w:pBdr>
        <w:spacing w:after="160" w:before="120" w:line="360"/>
        <w:ind w:left="360" w:right="360"/>
        <w:jc w:val="left"/>
      </w:pPr>
      <w:r>
        <w:rPr>
          <w:rFonts w:ascii="Times New Roman" w:cs="Times New Roman" w:eastAsia="Times New Roman" w:hAnsi="Times New Roman"/>
          <w:b/>
          <w:bCs/>
          <w:sz w:val="24"/>
          <w:szCs w:val="24"/>
        </w:rPr>
        <w:t xml:space="preserve">Proposition 1 (Poisson capacity). </w:t>
      </w:r>
      <w:r>
        <w:rPr>
          <w:rFonts w:ascii="Times New Roman" w:cs="Times New Roman" w:eastAsia="Times New Roman" w:hAnsi="Times New Roman"/>
          <w:sz w:val="24"/>
          <w:szCs w:val="24"/>
        </w:rPr>
        <w:t xml:space="preserve">Let X ~ Poisson(λ). (a) k∗(α, λ) is non-decreasing in λ. (b) k∗(α, λ) = 0 if and only if λ ≤ −ln α; for α = 0.95 this threshold is 0.0513 events per day. (c) Provisioning at the mean, k = ⌊λ⌋, leaves the system under-provisioned with probability P(X &gt; ⌊λ⌋), which is at least 0.26 for every λ ≥ 1, about 0.35 at λ = 3, and tends to 0.5 as λ grows. (d) k∗(α, λ) = λ + z_α√λ + O(1) as λ → ∞.</w:t>
      </w:r>
    </w:p>
    <w:p>
      <w:pPr>
        <w:spacing w:after="0" w:line="480"/>
        <w:ind w:firstLine="720"/>
        <w:jc w:val="left"/>
      </w:pPr>
      <w:r>
        <w:rPr>
          <w:rFonts w:ascii="Times New Roman" w:cs="Times New Roman" w:eastAsia="Times New Roman" w:hAnsi="Times New Roman"/>
          <w:sz w:val="24"/>
          <w:szCs w:val="24"/>
        </w:rPr>
        <w:t xml:space="preserve">Part (c) is the formal version of the first heuristic discussed in the Introduction. A system sized at the mean load is short on between a quarter and a half of days even when the Poisson assumption holds exactly. The proofs of all propositions are in Appendix A.</w:t>
      </w:r>
    </w:p>
    <w:p>
      <w:pPr>
        <w:pStyle w:val="Heading2"/>
        <w:keepNext/>
        <w:spacing w:after="60" w:before="240" w:line="360"/>
      </w:pPr>
      <w:r>
        <w:rPr>
          <w:rFonts w:ascii="Times New Roman" w:cs="Times New Roman" w:eastAsia="Times New Roman" w:hAnsi="Times New Roman"/>
          <w:b/>
          <w:bCs/>
          <w:i/>
          <w:iCs/>
          <w:color w:val="000000"/>
          <w:sz w:val="24"/>
          <w:szCs w:val="24"/>
        </w:rPr>
        <w:t xml:space="preserve">3.2 Over-dispersion</w:t>
      </w:r>
    </w:p>
    <w:p>
      <w:pPr>
        <w:pBdr>
          <w:left w:val="single" w:color="888888" w:sz="12" w:space="8"/>
        </w:pBdr>
        <w:spacing w:after="160" w:before="120" w:line="360"/>
        <w:ind w:left="360" w:right="360"/>
        <w:jc w:val="left"/>
      </w:pPr>
      <w:r>
        <w:rPr>
          <w:rFonts w:ascii="Times New Roman" w:cs="Times New Roman" w:eastAsia="Times New Roman" w:hAnsi="Times New Roman"/>
          <w:b/>
          <w:bCs/>
          <w:sz w:val="24"/>
          <w:szCs w:val="24"/>
        </w:rPr>
        <w:t xml:space="preserve">Proposition 2 (over-dispersion inflates capacity). </w:t>
      </w:r>
      <w:r>
        <w:rPr>
          <w:rFonts w:ascii="Times New Roman" w:cs="Times New Roman" w:eastAsia="Times New Roman" w:hAnsi="Times New Roman"/>
          <w:sz w:val="24"/>
          <w:szCs w:val="24"/>
        </w:rPr>
        <w:t xml:space="preserve">Let X_d | M ~ Poisson(λM) with E[M] = 1 and Var(M) = c² &gt; 0. Then (a) Var(X_d) = λφ with φ = 1 + λc². (b) X_d dominates Poisson(λ) in the convex order, so E[(X_d − k)⁺] ≥ E[(Y − k)⁺] for every k, where Y ~ Poisson(λ). (c) If φ stays bounded as λ grows, k∗_mixed(α) = λ + z_α√(λφ) + O(1). If instead the multiplier has a fixed coefficient of variation c, then φ grows with λ and k∗_mixed(α) = λ·F_M⁻¹(α) + O(√λ), where F_M is the distribution of M. In that regime the normal approximation λ + z_α√(λφ) understates the exact quantile by an amount that grows linearly in λ, and √φ is a lower guide for the inflation of the safety stock k∗ − λ, not an exact factor.</w:t>
      </w:r>
    </w:p>
    <w:p>
      <w:pPr>
        <w:spacing w:after="0" w:line="480"/>
        <w:ind w:firstLine="720"/>
        <w:jc w:val="left"/>
      </w:pPr>
      <w:r>
        <w:rPr>
          <w:rFonts w:ascii="Times New Roman" w:cs="Times New Roman" w:eastAsia="Times New Roman" w:hAnsi="Times New Roman"/>
          <w:sz w:val="24"/>
          <w:szCs w:val="24"/>
        </w:rPr>
        <w:t xml:space="preserve">For a Gamma-distributed multiplier at λ = 120.7 and c = 0.3, for example, the exact ratio of the safety stock to its Poisson value is 3.7, against √φ = 3.4; at c = 0.44 it is 5.5 against 4.9. Planning should therefore use the exact negative-binomial quantile, which Table 1 reports. At λ = 10 events per day and c = 0.3, the Poisson plan k∗ = 15 is exceeded on 11.0% of days instead of 4.9%, and the correct requirement is 18. At λ = 25 and c = 0.3, the Poisson plan of 33 is exceeded on 16.7% of days and 41 is required.</w:t>
      </w:r>
    </w:p>
    <w:p>
      <w:pPr>
        <w:keepNext/>
        <w:spacing w:after="80" w:before="240" w:line="276"/>
      </w:pPr>
      <w:r>
        <w:rPr>
          <w:rFonts w:ascii="Times New Roman" w:cs="Times New Roman" w:eastAsia="Times New Roman" w:hAnsi="Times New Roman"/>
          <w:b/>
          <w:bCs/>
          <w:sz w:val="22"/>
          <w:szCs w:val="22"/>
        </w:rPr>
        <w:t xml:space="preserve">Table 1. Capacity under over-dispersed arrivals (Gamma-mixed Poisson, α = 0.95)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100"/>
        <w:gridCol w:w="1500"/>
        <w:gridCol w:w="1500"/>
        <w:gridCol w:w="1960"/>
      </w:tblGrid>
      <w:tr>
        <w:trPr>
          <w:tblHeader/>
        </w:trPr>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λ (events/day)</w:t>
            </w:r>
          </w:p>
        </w:tc>
        <w:tc>
          <w:tcPr>
            <w:tcW w:type="dxa" w:w="18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 (CV of daily rate)</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φ</w:t>
            </w:r>
          </w:p>
        </w:tc>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Poisson</w:t>
            </w:r>
          </w:p>
        </w:tc>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mixed</w:t>
            </w:r>
          </w:p>
        </w:tc>
        <w:tc>
          <w:tcPr>
            <w:tcW w:type="dxa" w:w="19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P(exceed) Poisson plan</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5.7%</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8.0%</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11.0%</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16.4%</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7.0%</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11.9%</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41</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16.7%</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7.25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23.0%</w:t>
            </w:r>
          </w:p>
        </w:tc>
      </w:tr>
    </w:tbl>
    <w:p>
      <w:pPr>
        <w:spacing w:after="240" w:before="60" w:line="240"/>
      </w:pPr>
      <w:r>
        <w:rPr>
          <w:rFonts w:ascii="Times New Roman" w:cs="Times New Roman" w:eastAsia="Times New Roman" w:hAnsi="Times New Roman"/>
          <w:i/>
          <w:iCs/>
          <w:sz w:val="18"/>
          <w:szCs w:val="18"/>
        </w:rPr>
        <w:t xml:space="preserve">Exact negative-binomial quantiles, computed by paper_tables.py.</w:t>
      </w:r>
    </w:p>
    <w:p>
      <w:pPr>
        <w:pStyle w:val="Heading2"/>
        <w:keepNext/>
        <w:spacing w:after="60" w:before="240" w:line="360"/>
      </w:pPr>
      <w:r>
        <w:rPr>
          <w:rFonts w:ascii="Times New Roman" w:cs="Times New Roman" w:eastAsia="Times New Roman" w:hAnsi="Times New Roman"/>
          <w:b/>
          <w:bCs/>
          <w:i/>
          <w:iCs/>
          <w:color w:val="000000"/>
          <w:sz w:val="24"/>
          <w:szCs w:val="24"/>
        </w:rPr>
        <w:t xml:space="preserve">3.3 Thinning</w:t>
      </w:r>
    </w:p>
    <w:p>
      <w:pPr>
        <w:spacing w:after="0" w:line="480"/>
        <w:ind w:firstLine="720"/>
        <w:jc w:val="left"/>
      </w:pPr>
      <w:r>
        <w:rPr>
          <w:rFonts w:ascii="Times New Roman" w:cs="Times New Roman" w:eastAsia="Times New Roman" w:hAnsi="Times New Roman"/>
          <w:sz w:val="24"/>
          <w:szCs w:val="24"/>
        </w:rPr>
        <w:t xml:space="preserve">Requests may arrive in clusters even when incidents are rare. Because critical hallucinations are an independent thinning of requests, the dispersion of the incident stream follows from that of the request stream.</w:t>
      </w:r>
    </w:p>
    <w:p>
      <w:pPr>
        <w:pBdr>
          <w:left w:val="single" w:color="888888" w:sz="12" w:space="8"/>
        </w:pBdr>
        <w:spacing w:after="160" w:before="120" w:line="360"/>
        <w:ind w:left="360" w:right="360"/>
        <w:jc w:val="left"/>
      </w:pPr>
      <w:r>
        <w:rPr>
          <w:rFonts w:ascii="Times New Roman" w:cs="Times New Roman" w:eastAsia="Times New Roman" w:hAnsi="Times New Roman"/>
          <w:b/>
          <w:bCs/>
          <w:sz w:val="24"/>
          <w:szCs w:val="24"/>
        </w:rPr>
        <w:t xml:space="preserve">Proposition 3 (thinning reduces dispersion). </w:t>
      </w:r>
      <w:r>
        <w:rPr>
          <w:rFonts w:ascii="Times New Roman" w:cs="Times New Roman" w:eastAsia="Times New Roman" w:hAnsi="Times New Roman"/>
          <w:sz w:val="24"/>
          <w:szCs w:val="24"/>
        </w:rPr>
        <w:t xml:space="preserve">Let N be the request count in a window with mean μ and Fano factor F = Var(N)/μ, and let each request independently become a critical event with a constant probability p that does not depend on the request stream. Then the event count N_p has mean pμ and Fano factor 1 + p(F − 1). Equivalently, for a mixed-Poisson day with a rate multiplier of coefficient of variation c, φ = 1 + λc² with λ = pμ, and independent thinning with constant p leaves M, and hence c, unchanged.</w:t>
      </w:r>
    </w:p>
    <w:p>
      <w:pPr>
        <w:spacing w:after="0" w:line="480"/>
        <w:ind w:firstLine="720"/>
        <w:jc w:val="left"/>
      </w:pPr>
      <w:r>
        <w:rPr>
          <w:rFonts w:ascii="Times New Roman" w:cs="Times New Roman" w:eastAsia="Times New Roman" w:hAnsi="Times New Roman"/>
          <w:sz w:val="24"/>
          <w:szCs w:val="24"/>
        </w:rPr>
        <w:t xml:space="preserve">A guardrail cascade that lowers the residual probability p therefore pulls the incident stream towards Poisson (Fano factor 1), whereas an unprotected stream, with p large, keeps most of the burstiness of the request stream. Since c is invariant to thinning while φ is not, c is the quantity that can be carried over between streams with different event rates. That transfer requires p to be constant and independent of M, which we assume for hallucinations but do not test. A practical reading is that over-dispersion matters most where capacity is largest, that is, with weak guardrails, and matters less after strong filtering.</w:t>
      </w:r>
    </w:p>
    <w:p>
      <w:pPr>
        <w:pStyle w:val="Heading2"/>
        <w:keepNext/>
        <w:spacing w:after="60" w:before="240" w:line="360"/>
      </w:pPr>
      <w:r>
        <w:rPr>
          <w:rFonts w:ascii="Times New Roman" w:cs="Times New Roman" w:eastAsia="Times New Roman" w:hAnsi="Times New Roman"/>
          <w:b/>
          <w:bCs/>
          <w:i/>
          <w:iCs/>
          <w:color w:val="000000"/>
          <w:sz w:val="24"/>
          <w:szCs w:val="24"/>
        </w:rPr>
        <w:t xml:space="preserve">3.4 Guardrail cascades and dependence</w:t>
      </w:r>
    </w:p>
    <w:p>
      <w:pPr>
        <w:spacing w:after="0" w:line="480"/>
        <w:ind w:firstLine="720"/>
        <w:jc w:val="left"/>
      </w:pPr>
      <w:r>
        <w:rPr>
          <w:rFonts w:ascii="Times New Roman" w:cs="Times New Roman" w:eastAsia="Times New Roman" w:hAnsi="Times New Roman"/>
          <w:sz w:val="24"/>
          <w:szCs w:val="24"/>
        </w:rPr>
        <w:t xml:space="preserve">A cascade of N layers with stand-alone clearance rates c_i (the share of critical hallucinations that layer i blocks) is usually assumed to give a residual rate λ_N = λ₀Π(1 − c_i). That formula presumes independent layer decisions, whereas in practice the same ambiguous or adversarial outputs tend to fool all the layers.</w:t>
      </w:r>
    </w:p>
    <w:p>
      <w:pPr>
        <w:pBdr>
          <w:left w:val="single" w:color="888888" w:sz="12" w:space="8"/>
        </w:pBdr>
        <w:spacing w:after="160" w:before="120" w:line="360"/>
        <w:ind w:left="360" w:right="360"/>
        <w:jc w:val="left"/>
      </w:pPr>
      <w:r>
        <w:rPr>
          <w:rFonts w:ascii="Times New Roman" w:cs="Times New Roman" w:eastAsia="Times New Roman" w:hAnsi="Times New Roman"/>
          <w:b/>
          <w:bCs/>
          <w:sz w:val="24"/>
          <w:szCs w:val="24"/>
        </w:rPr>
        <w:t xml:space="preserve">Proposition 4 (dependence bounds). </w:t>
      </w:r>
      <w:r>
        <w:rPr>
          <w:rFonts w:ascii="Times New Roman" w:cs="Times New Roman" w:eastAsia="Times New Roman" w:hAnsi="Times New Roman"/>
          <w:sz w:val="24"/>
          <w:szCs w:val="24"/>
        </w:rPr>
        <w:t xml:space="preserve">For any joint behaviour of the layers, λ₀(1 − Σc_i)⁺ ≤ λ_N ≤ λ₀(1 − max_i c_i). If the layers' catch indicators, conditional on a hallucination, are positively associated (Esary et al. 1967), then additionally λ_N ≥ λ₀Π(1 − c_i). Consequently the multiplicative formula understates residual risk and, through Proposition 1(a), understates required capacity.</w:t>
      </w:r>
    </w:p>
    <w:p>
      <w:pPr>
        <w:spacing w:after="0" w:line="480"/>
        <w:ind w:firstLine="720"/>
        <w:jc w:val="left"/>
      </w:pPr>
      <w:r>
        <w:rPr>
          <w:rFonts w:ascii="Times New Roman" w:cs="Times New Roman" w:eastAsia="Times New Roman" w:hAnsi="Times New Roman"/>
          <w:sz w:val="24"/>
          <w:szCs w:val="24"/>
        </w:rPr>
        <w:t xml:space="preserve">Table 2 shows how wide the identification problem is. With c_i = 0.63 and λ₀ = 10, three layers could imply anything from 0 to 7 units of capacity, depending on the unknown dependence. This is why the dependence has to be measured (Section 5.2) and not assumed.</w:t>
      </w:r>
    </w:p>
    <w:p>
      <w:pPr>
        <w:keepNext/>
        <w:spacing w:after="80" w:before="240" w:line="276"/>
      </w:pPr>
      <w:r>
        <w:rPr>
          <w:rFonts w:ascii="Times New Roman" w:cs="Times New Roman" w:eastAsia="Times New Roman" w:hAnsi="Times New Roman"/>
          <w:b/>
          <w:bCs/>
          <w:sz w:val="22"/>
          <w:szCs w:val="22"/>
        </w:rPr>
        <w:t xml:space="preserve">Table 2. Residual rate and capacity bounds (λ₀ = 10, c_i = 0.63, α = 0.95)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700"/>
        <w:gridCol w:w="1500"/>
        <w:gridCol w:w="1200"/>
        <w:gridCol w:w="1300"/>
        <w:gridCol w:w="1460"/>
      </w:tblGrid>
      <w:tr>
        <w:trPr>
          <w:tblHeader/>
        </w:trPr>
        <w:tc>
          <w:tcPr>
            <w:tcW w:type="dxa" w:w="7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w:t>
            </w:r>
          </w:p>
        </w:tc>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λ_N lower</w:t>
            </w:r>
          </w:p>
        </w:tc>
        <w:tc>
          <w:tcPr>
            <w:tcW w:type="dxa" w:w="17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λ_N independent</w:t>
            </w:r>
          </w:p>
        </w:tc>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λ_N upper</w:t>
            </w:r>
          </w:p>
        </w:tc>
        <w:tc>
          <w:tcPr>
            <w:tcW w:type="dxa" w:w="12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lower</w:t>
            </w:r>
          </w:p>
        </w:tc>
        <w:tc>
          <w:tcPr>
            <w:tcW w:type="dxa" w:w="1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indep.</w:t>
            </w:r>
          </w:p>
        </w:tc>
        <w:tc>
          <w:tcPr>
            <w:tcW w:type="dxa" w:w="14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upper</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c>
          <w:tcPr>
            <w:tcW w:type="dxa" w:w="14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1.37</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14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0.51</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4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0.19</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4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r>
    </w:tbl>
    <w:p>
      <w:pPr>
        <w:spacing w:after="240" w:before="60" w:line="240"/>
      </w:pPr>
    </w:p>
    <w:p>
      <w:pPr>
        <w:pStyle w:val="Heading2"/>
        <w:keepNext/>
        <w:spacing w:after="60" w:before="240" w:line="360"/>
      </w:pPr>
      <w:r>
        <w:rPr>
          <w:rFonts w:ascii="Times New Roman" w:cs="Times New Roman" w:eastAsia="Times New Roman" w:hAnsi="Times New Roman"/>
          <w:b/>
          <w:bCs/>
          <w:i/>
          <w:iCs/>
          <w:color w:val="000000"/>
          <w:sz w:val="24"/>
          <w:szCs w:val="24"/>
        </w:rPr>
        <w:t xml:space="preserve">3.5 Cost-minimising guardrail depth</w:t>
      </w:r>
    </w:p>
    <w:p>
      <w:pPr>
        <w:spacing w:after="0" w:line="480"/>
        <w:ind w:firstLine="720"/>
        <w:jc w:val="left"/>
      </w:pPr>
      <w:r>
        <w:rPr>
          <w:rFonts w:ascii="Times New Roman" w:cs="Times New Roman" w:eastAsia="Times New Roman" w:hAnsi="Times New Roman"/>
          <w:sz w:val="24"/>
          <w:szCs w:val="24"/>
        </w:rPr>
        <w:t xml:space="preserve">Let C_h be the daily cost of one unit of triage capacity, g_i the daily compute cost of layer i, and k_min ≥ 0 a minimum standing capacity, since an on-call engineer is not dismissed because incidents are rare. Consider the cost</w:t>
      </w:r>
    </w:p>
    <w:p>
      <w:pPr>
        <w:tabs>
          <w:tab w:val="center" w:pos="4680"/>
          <w:tab w:val="right" w:pos="9360"/>
        </w:tabs>
        <w:spacing w:after="120" w:before="120" w:line="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f(N) = C_h · max{ k_min, k∗(α, λ_N) } + Σ_{i ≤ N} g_i</w:t>
      </w:r>
      <w:r>
        <w:rPr>
          <w:rFonts w:ascii="Times New Roman" w:cs="Times New Roman" w:eastAsia="Times New Roman" w:hAnsi="Times New Roman"/>
          <w:sz w:val="24"/>
          <w:szCs w:val="24"/>
        </w:rPr>
        <w:t xml:space="preserve">	(2)</w:t>
      </w:r>
    </w:p>
    <w:p>
      <w:pPr>
        <w:spacing w:after="0" w:line="480"/>
        <w:ind w:firstLine="720"/>
        <w:jc w:val="left"/>
      </w:pPr>
      <w:r>
        <w:rPr>
          <w:rFonts w:ascii="Times New Roman" w:cs="Times New Roman" w:eastAsia="Times New Roman" w:hAnsi="Times New Roman"/>
          <w:sz w:val="24"/>
          <w:szCs w:val="24"/>
        </w:rPr>
        <w:t xml:space="preserve">subject to a latency constraint Σ_{i ≤ N} L_i ≤ SLA, where L_i is the added latency of layer i.</w:t>
      </w:r>
    </w:p>
    <w:p>
      <w:pPr>
        <w:pBdr>
          <w:left w:val="single" w:color="888888" w:sz="12" w:space="8"/>
        </w:pBdr>
        <w:spacing w:after="160" w:before="120" w:line="360"/>
        <w:ind w:left="360" w:right="360"/>
        <w:jc w:val="left"/>
      </w:pPr>
      <w:r>
        <w:rPr>
          <w:rFonts w:ascii="Times New Roman" w:cs="Times New Roman" w:eastAsia="Times New Roman" w:hAnsi="Times New Roman"/>
          <w:b/>
          <w:bCs/>
          <w:sz w:val="24"/>
          <w:szCs w:val="24"/>
        </w:rPr>
        <w:t xml:space="preserve">Proposition 5 (optimal depth). </w:t>
      </w:r>
      <w:r>
        <w:rPr>
          <w:rFonts w:ascii="Times New Roman" w:cs="Times New Roman" w:eastAsia="Times New Roman" w:hAnsi="Times New Roman"/>
          <w:sz w:val="24"/>
          <w:szCs w:val="24"/>
        </w:rPr>
        <w:t xml:space="preserve">(a) In general f is not unimodal in N: because k∗ is integer-valued with plateaus, f can rise and then fall again. (b) With k_min ≥ 1, let N₀ be the first N with k∗(α, λ_N) ≤ k_min; every N &gt; N₀ is strictly dominated, so N</w:t>
      </w:r>
      <w:r>
        <w:rPr>
          <w:rFonts w:ascii="Times New Roman" w:cs="Times New Roman" w:eastAsia="Times New Roman" w:hAnsi="Times New Roman"/>
          <w:i/>
          <w:iCs/>
          <w:sz w:val="24"/>
          <w:szCs w:val="24"/>
        </w:rPr>
        <w:t xml:space="preserve"> ≤ N₀. (c) Let θ = C_h/g with equal per-layer compute cost g. The minimiser N</w:t>
      </w:r>
      <w:r>
        <w:rPr>
          <w:rFonts w:ascii="Times New Roman" w:cs="Times New Roman" w:eastAsia="Times New Roman" w:hAnsi="Times New Roman"/>
          <w:sz w:val="24"/>
          <w:szCs w:val="24"/>
        </w:rPr>
        <w:t xml:space="preserve">(θ) is non-decreasing in θ: when human triage is relatively expensive, deeper cascades are optimal. (d) The latency constraint restricts N to a feasible prefix of the cascade.</w:t>
      </w:r>
    </w:p>
    <w:p>
      <w:pPr>
        <w:spacing w:after="0" w:line="480"/>
        <w:ind w:firstLine="720"/>
        <w:jc w:val="left"/>
      </w:pPr>
      <w:r>
        <w:rPr>
          <w:rFonts w:ascii="Times New Roman" w:cs="Times New Roman" w:eastAsia="Times New Roman" w:hAnsi="Times New Roman"/>
          <w:sz w:val="24"/>
          <w:szCs w:val="24"/>
        </w:rPr>
        <w:t xml:space="preserve">Table 3 gives an illustrative parameter set (λ₀ = 10 events per day, a clearance of 0.63 per layer under independence, $150 per capacity unit, $25 per layer). With k_min = 0 the cost falls from N = 3 to N = 4, rises at N = 5 and falls again at N = 6, where k∗ reaches zero (λ₆ = 0.026 &lt; −ln 0.95), so the minimum is at N = 6. With a realistic floor of one on-call engineer (k_min = 1) the minimum is at N = 4. The number of layers is thus an outcome of the model and not a constant: it depends on the cost ratio, the clearance rates, the dependence between layers and the latency constraint, and a fixed prescription such as "three layers" does not follow from the cost model. Part (a) is a property of the model structure and not an empirical finding.</w:t>
      </w:r>
    </w:p>
    <w:p>
      <w:pPr>
        <w:keepNext/>
        <w:spacing w:after="80" w:before="240" w:line="276"/>
      </w:pPr>
      <w:r>
        <w:rPr>
          <w:rFonts w:ascii="Times New Roman" w:cs="Times New Roman" w:eastAsia="Times New Roman" w:hAnsi="Times New Roman"/>
          <w:b/>
          <w:bCs/>
          <w:sz w:val="22"/>
          <w:szCs w:val="22"/>
        </w:rPr>
        <w:t xml:space="preserve">Table 3. Daily cost by guardrail depth (λ₀ = 10, c = 0.63 independent, C_h = $150/unit, g = $25/layer)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800"/>
        <w:gridCol w:w="1400"/>
        <w:gridCol w:w="1400"/>
        <w:gridCol w:w="1930"/>
        <w:gridCol w:w="1930"/>
      </w:tblGrid>
      <w:tr>
        <w:trPr>
          <w:tblHeader/>
        </w:trPr>
        <w:tc>
          <w:tcPr>
            <w:tcW w:type="dxa" w:w="7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w:t>
            </w:r>
          </w:p>
        </w:tc>
        <w:tc>
          <w:tcPr>
            <w:tcW w:type="dxa" w:w="12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λ_N</w:t>
            </w:r>
          </w:p>
        </w:tc>
        <w:tc>
          <w:tcPr>
            <w:tcW w:type="dxa" w:w="8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w:t>
            </w:r>
          </w:p>
        </w:tc>
        <w:tc>
          <w:tcPr>
            <w:tcW w:type="dxa" w:w="14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Labour</w:t>
            </w:r>
          </w:p>
        </w:tc>
        <w:tc>
          <w:tcPr>
            <w:tcW w:type="dxa" w:w="14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Compute</w:t>
            </w:r>
          </w:p>
        </w:tc>
        <w:tc>
          <w:tcPr>
            <w:tcW w:type="dxa" w:w="193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Total (k_min = 0)</w:t>
            </w:r>
          </w:p>
        </w:tc>
        <w:tc>
          <w:tcPr>
            <w:tcW w:type="dxa" w:w="193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Total (k_min = 1)</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10.000</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$2,250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$2,250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$2,250</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3.700</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$1,050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$1,075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$1,075</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1.369</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$650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$650</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0.507</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$375</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0.187</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$250</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0.069</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$275</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0.026</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$300</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0.009</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$325</w:t>
            </w:r>
          </w:p>
        </w:tc>
      </w:tr>
    </w:tbl>
    <w:p>
      <w:pPr>
        <w:spacing w:after="240" w:before="60" w:line="240"/>
      </w:pPr>
      <w:r>
        <w:rPr>
          <w:rFonts w:ascii="Times New Roman" w:cs="Times New Roman" w:eastAsia="Times New Roman" w:hAnsi="Times New Roman"/>
          <w:i/>
          <w:iCs/>
          <w:sz w:val="18"/>
          <w:szCs w:val="18"/>
        </w:rPr>
        <w:t xml:space="preserve">Minimum: N = 6 under k_min = 0; N = 4 under k_min = 1. The cost parameters are illustrative assumptions.</w:t>
      </w:r>
    </w:p>
    <w:p>
      <w:pPr>
        <w:pStyle w:val="Heading2"/>
        <w:keepNext/>
        <w:spacing w:after="60" w:before="240" w:line="360"/>
      </w:pPr>
      <w:r>
        <w:rPr>
          <w:rFonts w:ascii="Times New Roman" w:cs="Times New Roman" w:eastAsia="Times New Roman" w:hAnsi="Times New Roman"/>
          <w:b/>
          <w:bCs/>
          <w:i/>
          <w:iCs/>
          <w:color w:val="000000"/>
          <w:sz w:val="24"/>
          <w:szCs w:val="24"/>
        </w:rPr>
        <w:t xml:space="preserve">3.6 Beyond a single Poisson: typed failure classes</w:t>
      </w:r>
    </w:p>
    <w:p>
      <w:pPr>
        <w:spacing w:after="0" w:line="480"/>
        <w:ind w:firstLine="720"/>
        <w:jc w:val="left"/>
      </w:pPr>
      <w:r>
        <w:rPr>
          <w:rFonts w:ascii="Times New Roman" w:cs="Times New Roman" w:eastAsia="Times New Roman" w:hAnsi="Times New Roman"/>
          <w:sz w:val="24"/>
          <w:szCs w:val="24"/>
        </w:rPr>
        <w:t xml:space="preserve">An LLM service produces several kinds of failure, and they violate the Poisson assumptions in different ways. Treating "all failures" as one Poisson stream is therefore a modelling error and not a harmless simplification. We model each class with the process that matches its mechanism and combine the classes only at the level of the human-handled event, an incident or a ticket. Table 4 summarises the mapping, the assumption that fails and where the evidence appears.</w:t>
      </w:r>
    </w:p>
    <w:p>
      <w:pPr>
        <w:keepNext/>
        <w:spacing w:after="80" w:before="240" w:line="276"/>
      </w:pPr>
      <w:r>
        <w:rPr>
          <w:rFonts w:ascii="Times New Roman" w:cs="Times New Roman" w:eastAsia="Times New Roman" w:hAnsi="Times New Roman"/>
          <w:b/>
          <w:bCs/>
          <w:sz w:val="22"/>
          <w:szCs w:val="22"/>
        </w:rPr>
        <w:t xml:space="preserve">Table 4. Failure classes, mechanisms and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700"/>
        <w:gridCol w:w="2300"/>
        <w:gridCol w:w="1660"/>
      </w:tblGrid>
      <w:tr>
        <w:trPr>
          <w:tblHeader/>
        </w:trPr>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Class</w:t>
            </w:r>
          </w:p>
        </w:tc>
        <w:tc>
          <w:tcPr>
            <w:tcW w:type="dxa" w:w="22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Mechanism</w:t>
            </w:r>
          </w:p>
        </w:tc>
        <w:tc>
          <w:tcPr>
            <w:tcW w:type="dxa" w:w="17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Poisson assumption violated</w:t>
            </w:r>
          </w:p>
        </w:tc>
        <w:tc>
          <w:tcPr>
            <w:tcW w:type="dxa" w:w="2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Model used</w:t>
            </w:r>
          </w:p>
        </w:tc>
        <w:tc>
          <w:tcPr>
            <w:tcW w:type="dxa" w:w="16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Evidence</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Hallucination (per answered query)</w:t>
            </w:r>
          </w:p>
        </w:tc>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Independent errors of the model given the query, on a clustered, daily-varying request stream</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Constant rate; independence of requests</w:t>
            </w:r>
          </w:p>
        </w:tc>
        <w:tc>
          <w:tcPr>
            <w:tcW w:type="dxa" w:w="2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Cox / negative-binomial thinning of the request stream (Props. 2, 3)</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Sections 5.3, 5.5</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Provider-declared incidents</w:t>
            </w:r>
          </w:p>
        </w:tc>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Outages, possibly followed by further incidents within hours; weekday and hour seasonality and a drifting level</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Orderliness and independence (self-excitation)</w:t>
            </w:r>
          </w:p>
        </w:tc>
        <w:tc>
          <w:tcPr>
            <w:tcW w:type="dxa" w:w="2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Seasonal, level-adjusted Hawkes process with exponential kernel; NHPP as null</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Section 5.7, App. C</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Serving errors and timeouts</w:t>
            </w:r>
          </w:p>
        </w:tc>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Common-cause episodes (outages, rate limiting) with heavy-tailed size</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Orderliness (batch arrivals), independence</w:t>
            </w:r>
          </w:p>
        </w:tc>
        <w:tc>
          <w:tcPr>
            <w:tcW w:type="dxa" w:w="2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Episode process (Hawkes) with heavy-tailed marks; compound Poisson for failed-request counts</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Section 5.7, App. C</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Human triage service</w:t>
            </w:r>
          </w:p>
        </w:tc>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Mixture of quick and very long tickets</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Exponential service</w:t>
            </w:r>
          </w:p>
        </w:tc>
        <w:tc>
          <w:tcPr>
            <w:tcW w:type="dxa" w:w="2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Heavy-tailed (Weibull, lognormal) service; workload headroom</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Section 5.6</w:t>
            </w:r>
          </w:p>
        </w:tc>
      </w:tr>
    </w:tbl>
    <w:p>
      <w:pPr>
        <w:spacing w:after="240" w:before="60" w:line="240"/>
      </w:pPr>
    </w:p>
    <w:p>
      <w:pPr>
        <w:pBdr>
          <w:left w:val="single" w:color="888888" w:sz="12" w:space="8"/>
        </w:pBdr>
        <w:spacing w:after="160" w:before="120" w:line="360"/>
        <w:ind w:left="360" w:right="360"/>
        <w:jc w:val="left"/>
      </w:pPr>
      <w:r>
        <w:rPr>
          <w:rFonts w:ascii="Times New Roman" w:cs="Times New Roman" w:eastAsia="Times New Roman" w:hAnsi="Times New Roman"/>
          <w:b/>
          <w:bCs/>
          <w:sz w:val="24"/>
          <w:szCs w:val="24"/>
        </w:rPr>
        <w:t xml:space="preserve">Proposition 6 (superposition and clustering). </w:t>
      </w:r>
      <w:r>
        <w:rPr>
          <w:rFonts w:ascii="Times New Roman" w:cs="Times New Roman" w:eastAsia="Times New Roman" w:hAnsi="Times New Roman"/>
          <w:sz w:val="24"/>
          <w:szCs w:val="24"/>
        </w:rPr>
        <w:t xml:space="preserve">(a) If the daily counts of independent failure classes j have means λ_j and dispersion indices φ_j, the total daily count has mean Σλ_j and variance Σλ_jφ_j, so the 95% capacity is approximately Σλ_j + z·√(Σλ_jφ_j). A single Poisson on the total uses φ = 1 and understates the safety stock by the factor √φ_eff, where φ_eff = Σλ_jφ_j / Σλ_j. The superposition of independent classes is Poisson only if every class is Poisson. (b) For a stationary Hawkes process (Hawkes 1971) with branching ratio α &lt; 1, the cluster started by a background event has a Borel size distribution with mean 1/(1 − α), and the long-window Fano factor of counts is 1/(1 − α)². (c) For a compound Poisson count N = Σ_{i ≤ M} X_i with M ~ Poisson(ν), the Fano factor is E[X²]/E[X], which is unbounded when the mark distribution has an infinite second moment (for instance a Pareto tail index below 2). The variance of the daily count, and with it the error of a Poisson plan, is then dominated by the largest episodes.</w:t>
      </w:r>
    </w:p>
    <w:p>
      <w:pPr>
        <w:pStyle w:val="Heading1"/>
        <w:keepNext/>
        <w:spacing w:after="120" w:before="360" w:line="360"/>
      </w:pPr>
      <w:r>
        <w:rPr>
          <w:rFonts w:ascii="Times New Roman" w:cs="Times New Roman" w:eastAsia="Times New Roman" w:hAnsi="Times New Roman"/>
          <w:b/>
          <w:bCs/>
          <w:color w:val="000000"/>
          <w:sz w:val="24"/>
          <w:szCs w:val="24"/>
        </w:rPr>
        <w:t xml:space="preserve">4. Empirical Evaluation: Design</w:t>
      </w:r>
    </w:p>
    <w:p>
      <w:pPr>
        <w:pStyle w:val="Heading2"/>
        <w:keepNext/>
        <w:spacing w:after="60" w:before="240" w:line="360"/>
      </w:pPr>
      <w:r>
        <w:rPr>
          <w:rFonts w:ascii="Times New Roman" w:cs="Times New Roman" w:eastAsia="Times New Roman" w:hAnsi="Times New Roman"/>
          <w:b/>
          <w:bCs/>
          <w:i/>
          <w:iCs/>
          <w:color w:val="000000"/>
          <w:sz w:val="24"/>
          <w:szCs w:val="24"/>
        </w:rPr>
        <w:t xml:space="preserve">4.1 Data, generators and ground truth</w:t>
      </w:r>
    </w:p>
    <w:p>
      <w:pPr>
        <w:spacing w:after="0" w:line="480"/>
        <w:ind w:firstLine="720"/>
        <w:jc w:val="left"/>
      </w:pPr>
      <w:r>
        <w:rPr>
          <w:rFonts w:ascii="Times New Roman" w:cs="Times New Roman" w:eastAsia="Times New Roman" w:hAnsi="Times New Roman"/>
          <w:sz w:val="24"/>
          <w:szCs w:val="24"/>
        </w:rPr>
        <w:t xml:space="preserve">We use the validation set of SQuAD 2.0 (Rajpurkar et al. 2018), which mixes answerable questions with questions that the supplied passage cannot answer. One random sample of 300 questions (seed 0; 148 unanswerable) was drawn once and given to all three generators, so the three runs are paired on the same questions and are not independent samples. Each model receives the passage and the question and must reply with a short answer or the token UNANSWERABLE. A response is labelled a hallucination if it is not an abstention and either the question is answerable and the answer matches no gold answer (normalised containment, or token-F1 of at least 0.6), or the question is unanswerable. Abstentions are never counted as hallucinations and bypass the guardrails. The generators are Qwen2.5-0.5B-Instruct, SmolLM2-360M-Instruct and Qwen2.5-1.5B-Instruct (Qwen Team 2024; Allal et al. 2025), run greedily on a CPU. We chose small open models because they can be run end to end with full control over latency measurement. Their hallucination rates are higher than those of frontier models, so absolute rates should not be transferred (Section 6.3).</w:t>
      </w:r>
    </w:p>
    <w:p>
      <w:pPr>
        <w:pStyle w:val="Heading2"/>
        <w:keepNext/>
        <w:spacing w:after="60" w:before="240" w:line="360"/>
      </w:pPr>
      <w:r>
        <w:rPr>
          <w:rFonts w:ascii="Times New Roman" w:cs="Times New Roman" w:eastAsia="Times New Roman" w:hAnsi="Times New Roman"/>
          <w:b/>
          <w:bCs/>
          <w:i/>
          <w:iCs/>
          <w:color w:val="000000"/>
          <w:sz w:val="24"/>
          <w:szCs w:val="24"/>
        </w:rPr>
        <w:t xml:space="preserve">4.2 Guardrail layers</w:t>
      </w:r>
    </w:p>
    <w:p>
      <w:pPr>
        <w:spacing w:after="0" w:line="480"/>
        <w:ind w:firstLine="720"/>
        <w:jc w:val="left"/>
      </w:pPr>
      <w:r>
        <w:rPr>
          <w:rFonts w:ascii="Times New Roman" w:cs="Times New Roman" w:eastAsia="Times New Roman" w:hAnsi="Times New Roman"/>
          <w:sz w:val="24"/>
          <w:szCs w:val="24"/>
        </w:rPr>
        <w:t xml:space="preserve">The three layers follow the usual progression from deterministic rules, through a trained classifier, to a semantic judge, and each one is implemented and executed on every answer. Layer L1 applies regular expressions for e-mail addresses, national identifiers, card and phone numbers, checks for template-token leakage and degenerate repetition, and blocks any answer containing a number that is absent from the evidence passage. Layer L2 is an extractive question-answering verifier: a SQuAD 2.0-trained model (deepset/roberta-base-squad2) answers the question from the passage, the score is the token-F1 between its span and the generator's answer (zero if it predicts no answer), and the output is blocked when the score is below 0.5, a threshold we did not tune. Layer L3 is an LLM judge (Qwen2.5-1.5B-Instruct in every run) that sees the passage, the question and the answer and replies SUPPORTED or UNSUPPORTED (Zheng et al. 2023); it is invoked only when routed, which with L2 present means only if the L2 score is below 0.9.</w:t>
      </w:r>
    </w:p>
    <w:p>
      <w:pPr>
        <w:spacing w:after="0" w:line="480"/>
        <w:ind w:firstLine="720"/>
        <w:jc w:val="left"/>
      </w:pPr>
      <w:r>
        <w:rPr>
          <w:rFonts w:ascii="Times New Roman" w:cs="Times New Roman" w:eastAsia="Times New Roman" w:hAnsi="Times New Roman"/>
          <w:sz w:val="24"/>
          <w:szCs w:val="24"/>
        </w:rPr>
        <w:t xml:space="preserve">The first implementation of L2 was an NLI cross-encoder (DeBERTa-v3-small; He et al. 2021) that scored whether the passage entails "the answer to Q is A". It proved uninformative, and we replaced it with the extractive verifier after seeing the results (Section 5.1). We did not use safeguard classifiers of the Llama Guard type because they target policy violations and not factual grounding. All layers use the same evidence passage, as in retrieval-grounded verification. Because every layer is run on every example, any subset or cascade can be evaluated offline from the observed flags, without an independence assumption. For each call we record the flag, the score, the wall-clock latency and any exception.</w:t>
      </w:r>
    </w:p>
    <w:p>
      <w:pPr>
        <w:spacing w:after="0" w:line="480"/>
        <w:ind w:firstLine="720"/>
        <w:jc w:val="left"/>
      </w:pPr>
      <w:r>
        <w:rPr>
          <w:rFonts w:ascii="Times New Roman" w:cs="Times New Roman" w:eastAsia="Times New Roman" w:hAnsi="Times New Roman"/>
          <w:sz w:val="24"/>
          <w:szCs w:val="24"/>
        </w:rPr>
        <w:t xml:space="preserve">Layers fail open. A call that raises an exception or takes longer than 2 s is counted as a system failure, from which we estimate a failure rate and not assume one; its verdict is discarded, so the answer passes that layer, and the added latency is capped at 2 s. No call raised an exception, so all system failures are judge calls slower than 2 s, which were 25 to 30% of judge calls on our CPU set-up. Section 5.4 reports a sensitivity analysis in which slow verdicts are awaited and credited.</w:t>
      </w:r>
    </w:p>
    <w:p>
      <w:pPr>
        <w:pStyle w:val="Heading2"/>
        <w:keepNext/>
        <w:spacing w:after="60" w:before="240" w:line="360"/>
      </w:pPr>
      <w:r>
        <w:rPr>
          <w:rFonts w:ascii="Times New Roman" w:cs="Times New Roman" w:eastAsia="Times New Roman" w:hAnsi="Times New Roman"/>
          <w:b/>
          <w:bCs/>
          <w:i/>
          <w:iCs/>
          <w:color w:val="000000"/>
          <w:sz w:val="24"/>
          <w:szCs w:val="24"/>
        </w:rPr>
        <w:t xml:space="preserve">4.3 Traffic replay and estimators</w:t>
      </w:r>
    </w:p>
    <w:p>
      <w:pPr>
        <w:spacing w:after="0" w:line="480"/>
        <w:ind w:firstLine="720"/>
        <w:jc w:val="left"/>
      </w:pPr>
      <w:r>
        <w:rPr>
          <w:rFonts w:ascii="Times New Roman" w:cs="Times New Roman" w:eastAsia="Times New Roman" w:hAnsi="Times New Roman"/>
          <w:sz w:val="24"/>
          <w:szCs w:val="24"/>
        </w:rPr>
        <w:t xml:space="preserve">Production logs of hallucinations are unavailable, so arrivals are simulated while outcomes are measured. Queries arrive according to an NHPP with a 24-slot hour-of-day intensity and a mean of 200 queries per day over 90 days. The default profile follows business hours; a second profile is the hour-of-day profile measured in the BurstGPT production trace (Section 4.5). A Cox variant multiplies each day's intensity by a Gamma factor with mean 1 and coefficient of variation c, to represent bursty demand. We use c = 0.3 and c = 0.44 as scenario values. Net of trend, and after excluding holiday and low-volume days, public ticket streams give daily-rate coefficients of variation of 0.10 to 0.38 (0.25 to 0.41 with all days; Section 5.6), so c = 0.3 lies within that range and c = 0.44 above it. The value 0.44 is the smallest coefficient of variation of any 14-day window of BurstGPT (Section 5.5), whose variability over the whole trace is much larger, so it is a floor for that trace and not a net-of-trend estimate comparable to the ticket values.</w:t>
      </w:r>
    </w:p>
    <w:p>
      <w:pPr>
        <w:spacing w:after="0" w:line="480"/>
        <w:ind w:firstLine="720"/>
        <w:jc w:val="left"/>
      </w:pPr>
      <w:r>
        <w:rPr>
          <w:rFonts w:ascii="Times New Roman" w:cs="Times New Roman" w:eastAsia="Times New Roman" w:hAnsi="Times New Roman"/>
          <w:sz w:val="24"/>
          <w:szCs w:val="24"/>
        </w:rPr>
        <w:t xml:space="preserve">Each arriving query replays a uniformly drawn example from the measured pool, and it becomes a critical event if it is a hallucination that survives the cascade (the detection assumption of Section 3.1). For each event stream we estimate λ̂ as events per day and apply four tests: an index-of-dispersion test on daily counts, a chi-square test of constant hourly intensity, a Kolmogorov-Smirnov test of raw inter-arrival times against an exponential and of time-rescaled gaps under the fitted hourly intensity (the Lilliefors-type p-value is optimistic), and a negative-binomial fit of daily counts. Uncertainty from the finite evaluation pool is quantified with a 300-draw bootstrap over examples, reported as 95% percentile intervals. Because the same pool generates all arrivals, the replay tests whether the counting process has the claimed structure given measured per-query outcomes. It does not test whether real users' queries are independent, which is the main limit on external validity.</w:t>
      </w:r>
    </w:p>
    <w:p>
      <w:pPr>
        <w:pStyle w:val="Heading2"/>
        <w:keepNext/>
        <w:spacing w:after="60" w:before="240" w:line="360"/>
      </w:pPr>
      <w:r>
        <w:rPr>
          <w:rFonts w:ascii="Times New Roman" w:cs="Times New Roman" w:eastAsia="Times New Roman" w:hAnsi="Times New Roman"/>
          <w:b/>
          <w:bCs/>
          <w:i/>
          <w:iCs/>
          <w:color w:val="000000"/>
          <w:sz w:val="24"/>
          <w:szCs w:val="24"/>
        </w:rPr>
        <w:t xml:space="preserve">4.4 Cascade selection and cost model</w:t>
      </w:r>
    </w:p>
    <w:p>
      <w:pPr>
        <w:spacing w:after="0" w:line="480"/>
        <w:ind w:firstLine="720"/>
        <w:jc w:val="left"/>
      </w:pPr>
      <w:r>
        <w:rPr>
          <w:rFonts w:ascii="Times New Roman" w:cs="Times New Roman" w:eastAsia="Times New Roman" w:hAnsi="Times New Roman"/>
          <w:sz w:val="24"/>
          <w:szCs w:val="24"/>
        </w:rPr>
        <w:t xml:space="preserve">We evaluate the cascades L1, L2 and L3 and all their combinations, always in the order L1, L2, L3, including the case of no guardrail. The </w:t>
      </w:r>
      <w:r>
        <w:rPr>
          <w:rFonts w:ascii="Times New Roman" w:cs="Times New Roman" w:eastAsia="Times New Roman" w:hAnsi="Times New Roman"/>
          <w:i/>
          <w:iCs/>
          <w:sz w:val="24"/>
          <w:szCs w:val="24"/>
        </w:rPr>
        <w:t xml:space="preserve">best cascade</w:t>
      </w:r>
      <w:r>
        <w:rPr>
          <w:rFonts w:ascii="Times New Roman" w:cs="Times New Roman" w:eastAsia="Times New Roman" w:hAnsi="Times New Roman"/>
          <w:sz w:val="24"/>
          <w:szCs w:val="24"/>
        </w:rPr>
        <w:t xml:space="preserve"> is the one that minimises k∗ + 0.02 × (mean added latency in ms) + (system failures per day) among cascades whose mean added latency is within the stated budget (100 ms, or 500 ms where indicated). The weights are arbitrary and were not tuned; they serve only to produce one ranking for Sections 5.3 and 5.7, where L1+L2 under the 500 ms budget is selected for all three generators.</w:t>
      </w:r>
    </w:p>
    <w:p>
      <w:pPr>
        <w:spacing w:after="0" w:line="480"/>
        <w:ind w:firstLine="720"/>
        <w:jc w:val="left"/>
      </w:pPr>
      <w:r>
        <w:rPr>
          <w:rFonts w:ascii="Times New Roman" w:cs="Times New Roman" w:eastAsia="Times New Roman" w:hAnsi="Times New Roman"/>
          <w:sz w:val="24"/>
          <w:szCs w:val="24"/>
        </w:rPr>
        <w:t xml:space="preserve">Daily cost is C_h·max(k_min, k∗) plus compute, false-block and residual-harm costs. We set C_h to $150 per capacity unit, compute to $0.0001 per classifier call and $0.002 per judge call, the false-block cost to $1 per wrongly blocked answer and the residual-harm cost to $100 per hallucination that reaches a user. These are scenario values, not estimates. The </w:t>
      </w:r>
      <w:r>
        <w:rPr>
          <w:rFonts w:ascii="Times New Roman" w:cs="Times New Roman" w:eastAsia="Times New Roman" w:hAnsi="Times New Roman"/>
          <w:i/>
          <w:iCs/>
          <w:sz w:val="24"/>
          <w:szCs w:val="24"/>
        </w:rPr>
        <w:t xml:space="preserve">minimum-dollar cascade</w:t>
      </w:r>
      <w:r>
        <w:rPr>
          <w:rFonts w:ascii="Times New Roman" w:cs="Times New Roman" w:eastAsia="Times New Roman" w:hAnsi="Times New Roman"/>
          <w:sz w:val="24"/>
          <w:szCs w:val="24"/>
        </w:rPr>
        <w:t xml:space="preserve"> of Section 5.4 minimises this cost and can differ from the best cascade because it ignores latency and system failures. A sensitivity grid varies daily traffic (50, 200 and 800 queries), the false-block cost ($0, $1, $10) and the residual-harm cost ($0, $100, $1,000), giving 27 scenarios per generator. Sampling uncertainty is quantified by pool bootstrap, including paired intervals for cost differences between cascades.</w:t>
      </w:r>
    </w:p>
    <w:p>
      <w:pPr>
        <w:pStyle w:val="Heading2"/>
        <w:keepNext/>
        <w:spacing w:after="60" w:before="240" w:line="360"/>
      </w:pPr>
      <w:r>
        <w:rPr>
          <w:rFonts w:ascii="Times New Roman" w:cs="Times New Roman" w:eastAsia="Times New Roman" w:hAnsi="Times New Roman"/>
          <w:b/>
          <w:bCs/>
          <w:i/>
          <w:iCs/>
          <w:color w:val="000000"/>
          <w:sz w:val="24"/>
          <w:szCs w:val="24"/>
        </w:rPr>
        <w:t xml:space="preserve">4.5 Public production data</w:t>
      </w:r>
    </w:p>
    <w:p>
      <w:pPr>
        <w:spacing w:after="0" w:line="480"/>
        <w:ind w:firstLine="720"/>
        <w:jc w:val="left"/>
      </w:pPr>
      <w:r>
        <w:rPr>
          <w:rFonts w:ascii="Times New Roman" w:cs="Times New Roman" w:eastAsia="Times New Roman" w:hAnsi="Times New Roman"/>
          <w:sz w:val="24"/>
          <w:szCs w:val="24"/>
        </w:rPr>
        <w:t xml:space="preserve">Six public sources test the counting-process assumptions on real systems. BurstGPT (Wang et al. 2025) records 10.6 million requests to regional Azure OpenAI services over 231 days. A dataset of LLM service outages and incident reports (Chu et al. 2025) provides 457 incidents declared by three providers from March 2023. Three company ticket logs describe human triage: customer tickets of an international software company (Abdellatif 2026), the incident log of a ServiceNow instance (Amaral et al. 2018) and the help-desk log of an Italian software company (Verenich 2016). Finally, a curated database of court decisions involving fabricated content (Charlotin 2026) is the only dated log of hallucination incidents we found, although it is confined to the legal domain and is subject to strong detection and reporting bias. Appendix B gives the filters, the work-week and holiday rules, and the estimators. Two features of the design are worth stating here. Each ticket analysis is reported twice, once for all work days and once with holidays and low-volume days excluded, because isolated dips inflate dispersion that a local mean cannot absorb. And each Poisson plan is evaluated both against a two-sided local mean, which is not a feasible forecast, and causally, with a trailing mean and a coefficient of variation estimated on earlier days only.</w:t>
      </w:r>
    </w:p>
    <w:p>
      <w:pPr>
        <w:spacing w:after="0" w:line="480"/>
        <w:ind w:firstLine="720"/>
        <w:jc w:val="left"/>
      </w:pPr>
      <w:r>
        <w:rPr>
          <w:rFonts w:ascii="Times New Roman" w:cs="Times New Roman" w:eastAsia="Times New Roman" w:hAnsi="Times New Roman"/>
          <w:sz w:val="24"/>
          <w:szCs w:val="24"/>
        </w:rPr>
        <w:t xml:space="preserve">For typed failure models we fit a seasonal Hawkes process with exponential kernel to provider incidents, λ(t) = μ₀s(t) + Σαβe^{−β(t − t_i)}, where s(t) is a weekday-by-hour profile estimated from the data and held fixed, and compare it with a seasonal NHPP by AIC, by a parametric-bootstrap likelihood-ratio test and by the time-rescaling test. For BurstGPT failures we detect outage-like episodes, characterise their size and arrival process, and test four alternative episode definitions. Finally, we combine class-specific negative-binomial daily counts by Monte Carlo to compare the 95% capacity of a typed superposition with that of a single Poisson on the total (Section 5.7). All simulations and bootstrap draws are seeded and can be reproduced with the scripts that accompany the paper (Appendix D).</w:t>
      </w:r>
    </w:p>
    <w:p>
      <w:pPr>
        <w:pStyle w:val="Heading1"/>
        <w:keepNext/>
        <w:spacing w:after="120" w:before="360" w:line="360"/>
      </w:pPr>
      <w:r>
        <w:rPr>
          <w:rFonts w:ascii="Times New Roman" w:cs="Times New Roman" w:eastAsia="Times New Roman" w:hAnsi="Times New Roman"/>
          <w:b/>
          <w:bCs/>
          <w:color w:val="000000"/>
          <w:sz w:val="24"/>
          <w:szCs w:val="24"/>
        </w:rPr>
        <w:t xml:space="preserve">5. Findings</w:t>
      </w:r>
    </w:p>
    <w:p>
      <w:pPr>
        <w:pStyle w:val="Heading2"/>
        <w:keepNext/>
        <w:spacing w:after="60" w:before="240" w:line="360"/>
      </w:pPr>
      <w:r>
        <w:rPr>
          <w:rFonts w:ascii="Times New Roman" w:cs="Times New Roman" w:eastAsia="Times New Roman" w:hAnsi="Times New Roman"/>
          <w:b/>
          <w:bCs/>
          <w:i/>
          <w:iCs/>
          <w:color w:val="000000"/>
          <w:sz w:val="24"/>
          <w:szCs w:val="24"/>
        </w:rPr>
        <w:t xml:space="preserve">5.1 Hallucination rates and guardrail layer performance</w:t>
      </w:r>
    </w:p>
    <w:p>
      <w:pPr>
        <w:spacing w:after="0" w:line="480"/>
        <w:ind w:firstLine="720"/>
        <w:jc w:val="left"/>
      </w:pPr>
      <w:r>
        <w:rPr>
          <w:rFonts w:ascii="Times New Roman" w:cs="Times New Roman" w:eastAsia="Times New Roman" w:hAnsi="Times New Roman"/>
          <w:sz w:val="24"/>
          <w:szCs w:val="24"/>
        </w:rPr>
        <w:t xml:space="preserve">On the same 300 questions the hallucination rate is 60.3% for Qwen2.5-0.5B, 65.0% for SmolLM2-360M and 47.0% for Qwen2.5-1.5B, and 75 to 90% of the hallucinations are answers to unanswerable questions. Table 5 reports the layers. The deterministic layer L1 catches only 0.7 to 5.1% of hallucinations: the task contains no personal data or template leaks and few fabricated numbers, so L1 is nearly inert, though also nearly free of latency and false blocks. The judge L3 blocks 48 to 59% of hallucinations and 17 to 24% of correct answers, and each call takes about 1.8 to 1.9 s on our CPU. Because 25 to 30% of judge calls exceed the 2 s timeout and their verdicts are discarded, these clearances are lower than they would be if slow verdicts were credited (Section 5.4). The judge is Qwen2.5-1.5B-Instruct throughout, so one arm is judged by its own generator; we did not test for a self-judging effect.</w:t>
      </w:r>
    </w:p>
    <w:p>
      <w:pPr>
        <w:spacing w:after="0" w:line="480"/>
        <w:ind w:firstLine="720"/>
        <w:jc w:val="left"/>
      </w:pPr>
      <w:r>
        <w:rPr>
          <w:rFonts w:ascii="Times New Roman" w:cs="Times New Roman" w:eastAsia="Times New Roman" w:hAnsi="Times New Roman"/>
          <w:sz w:val="24"/>
          <w:szCs w:val="24"/>
        </w:rPr>
        <w:t xml:space="preserve">The NLI classifier we tried first gave a negative result. Its entailment score separated correct from hallucinated answers with an AUC of 0.52 to 0.58, where 0.5 is chance, and at the default threshold it blocked 87 to 88% of hallucinations and 85 to 90% of correct answers. Its apparent capacity savings were an artefact of blocking almost everything, which is why we report false-block rates next to every capacity figure: a capacity reduction alone cannot distinguish a useful layer from one that blocks indiscriminately. We replaced it with the extractive verifier (AUC 0.84 to 0.90) and re-ran all layers on the stored answers. The replacement was made after seeing the results, the verifier is evaluated on the same 300 questions, and it is in effect a second solver of the task it verifies, trained on SQuAD, which flatters it relative to a generic classifier. All numbers below use it.</w:t>
      </w:r>
    </w:p>
    <w:p>
      <w:pPr>
        <w:keepNext/>
        <w:spacing w:after="80" w:before="240" w:line="276"/>
      </w:pPr>
      <w:r>
        <w:rPr>
          <w:rFonts w:ascii="Times New Roman" w:cs="Times New Roman" w:eastAsia="Times New Roman" w:hAnsi="Times New Roman"/>
          <w:b/>
          <w:bCs/>
          <w:sz w:val="22"/>
          <w:szCs w:val="22"/>
        </w:rPr>
        <w:t xml:space="preserve">Table 5. Guardrail layers on the same 300 SQuAD 2.0 questions for each generator (CPU inference; latency re-measured without concurrent jobs)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800"/>
        <w:gridCol w:w="900"/>
        <w:gridCol w:w="900"/>
        <w:gridCol w:w="1250"/>
        <w:gridCol w:w="1000"/>
        <w:gridCol w:w="900"/>
        <w:gridCol w:w="950"/>
      </w:tblGrid>
      <w:tr>
        <w:trPr>
          <w:tblHeader/>
        </w:trPr>
        <w:tc>
          <w:tcPr>
            <w:tcW w:type="dxa" w:w="1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Generator</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p₀ (hallucination rate)</w:t>
            </w:r>
          </w:p>
        </w:tc>
        <w:tc>
          <w:tcPr>
            <w:tcW w:type="dxa" w:w="8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c₁ (L1)</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c₂ (L2 QA)</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c₃ (L3 judge)</w:t>
            </w:r>
          </w:p>
        </w:tc>
        <w:tc>
          <w:tcPr>
            <w:tcW w:type="dxa" w:w="12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L2 false-block (good answers)</w:t>
            </w:r>
          </w:p>
        </w:tc>
        <w:tc>
          <w:tcPr>
            <w:tcW w:type="dxa" w:w="10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L3 false-block</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L2 mean ms</w:t>
            </w:r>
          </w:p>
        </w:tc>
        <w:tc>
          <w:tcPr>
            <w:tcW w:type="dxa" w:w="9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L3 mean ms (capped at 2 s)</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60.3%</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89.5%</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58.0%</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15.1%</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24.4%</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98</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1759</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65.0%</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5.1%</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96.9%</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48.2%</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70.9%</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16.5%</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97</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1792</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47.0%</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81.6%</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58.9%</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15.4%</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22.8%</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95</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1728</w:t>
            </w:r>
          </w:p>
        </w:tc>
      </w:tr>
    </w:tbl>
    <w:p>
      <w:pPr>
        <w:spacing w:after="240" w:before="60" w:line="240"/>
      </w:pPr>
      <w:r>
        <w:rPr>
          <w:rFonts w:ascii="Times New Roman" w:cs="Times New Roman" w:eastAsia="Times New Roman" w:hAnsi="Times New Roman"/>
          <w:i/>
          <w:iCs/>
          <w:sz w:val="18"/>
          <w:szCs w:val="18"/>
        </w:rPr>
        <w:t xml:space="preserve">c_i is the stand-alone share of hallucinated answers the layer blocks. False-block is the share of correct, non-abstained answers blocked (denominators 119, 103 and 136). The L2 threshold (F1 &lt; 0.5) was not tuned; SmolLM2 gives longer answers, which lowers its token-F1 agreement and inflates its L2 false-block rate.</w:t>
      </w:r>
    </w:p>
    <w:p>
      <w:pPr>
        <w:pStyle w:val="Heading2"/>
        <w:keepNext/>
        <w:spacing w:after="60" w:before="240" w:line="360"/>
      </w:pPr>
      <w:r>
        <w:rPr>
          <w:rFonts w:ascii="Times New Roman" w:cs="Times New Roman" w:eastAsia="Times New Roman" w:hAnsi="Times New Roman"/>
          <w:b/>
          <w:bCs/>
          <w:i/>
          <w:iCs/>
          <w:color w:val="000000"/>
          <w:sz w:val="24"/>
          <w:szCs w:val="24"/>
        </w:rPr>
        <w:t xml:space="preserve">5.2 Dependence between layers and the cost of routing</w:t>
      </w:r>
    </w:p>
    <w:p>
      <w:pPr>
        <w:spacing w:after="0" w:line="480"/>
        <w:ind w:firstLine="720"/>
        <w:jc w:val="left"/>
      </w:pPr>
      <w:r>
        <w:rPr>
          <w:rFonts w:ascii="Times New Roman" w:cs="Times New Roman" w:eastAsia="Times New Roman" w:hAnsi="Times New Roman"/>
          <w:sz w:val="24"/>
          <w:szCs w:val="24"/>
        </w:rPr>
        <w:t xml:space="preserve">Among hallucinated answers, the catch decisions of L2 and L3 are weakly and positively associated (φ = 0.15, 0.11, 0.12 for the three generators; 95% bootstrap intervals [0.00, 0.29], [-0.02, 0.21], [-0.06, 0.28]; Fisher exact p = 0.054, 0.213, 0.186), which is the direction Proposition 4 predicts. The intervals include zero for two of the three generators and the runs share their questions, so the evidence is suggestive and not conclusive. L1 catches only 1 to 10 hallucinations per generator, so its pairwise statistics (φ ≤ 0.09) say nothing useful.</w:t>
      </w:r>
    </w:p>
    <w:p>
      <w:pPr>
        <w:spacing w:after="0" w:line="480"/>
        <w:ind w:firstLine="720"/>
        <w:jc w:val="left"/>
      </w:pPr>
      <w:r>
        <w:rPr>
          <w:rFonts w:ascii="Times New Roman" w:cs="Times New Roman" w:eastAsia="Times New Roman" w:hAnsi="Times New Roman"/>
          <w:sz w:val="24"/>
          <w:szCs w:val="24"/>
        </w:rPr>
        <w:t xml:space="preserve">The excess of the residual share over the independence formula is correspondingly modest (Figure 1, left). For the L2+L3 cascade, the share of hallucinations that pass both layers is 1.6 to 7.6% under the independence formula, computed from the same sample's marginals, and 2.6 to 9.9% when both layers see every answer. That is 1.5, 1.6, 1.3 times higher (12, 5, 14 hallucinations pass; pool-bootstrap intervals [1.0, 2.0], [0.9, 2.1], [0.8, 1.7]), and the interval includes 1 for 2 of the three generators. The cost of dynamic routing, in which only low-agreement answers go to the judge, is clearer. The ratios rise to 2.1, 1.9, 2.3 ([1.7, 2.6], [1.7, 2.2], [1.9, 3.0]), and the number of passing answers rises to 17, 6, 25. Routing cuts judge calls by 89 to 92%, but the judge no longer sees the answers the verifier considers consistent, and those contain a substantial share of the hallucinations the judge would have caught. The absolute numbers of passing answers are small, so all of these estimates are imprecise.</w:t>
      </w:r>
    </w:p>
    <w:p>
      <w:pPr>
        <w:spacing w:before="200"/>
        <w:jc w:val="center"/>
      </w:pPr>
      <w:r>
        <w:drawing>
          <wp:inline distT="0" distB="0" distL="0" distR="0">
            <wp:extent cx="5715000" cy="2162175"/>
            <wp:effectExtent t="0" r="0" b="0" l="0"/>
            <wp:docPr id="1" name="Figure 1. Left: share of hallucinations passing the L2+L3 cascade under independence, observed without routing, and observed with routing. Right: capacity k* by cascade (95% bootstrap CI over the evaluated pool), log scale." descr="Figure 1. Left: share of hallucinations passing the L2+L3 cascade under independence, observed without routing, and observed with routing. Right: capacity k* by cascade (95% bootstrap CI over the evaluated pool), log scale." title="Figure 1. Left: share of hallucinations passing the L2+L3 cascade under independence, observed without routing, and observed with routing. Right: capacity k* by cascade (95% bootstrap CI over the evaluated pool),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62175"/>
                    </a:xfrm>
                    <a:prstGeom prst="rect">
                      <a:avLst/>
                    </a:prstGeom>
                  </pic:spPr>
                </pic:pic>
              </a:graphicData>
            </a:graphic>
          </wp:inline>
        </w:drawing>
      </w:r>
    </w:p>
    <w:p>
      <w:pPr>
        <w:spacing w:after="240" w:before="60" w:line="276"/>
        <w:jc w:val="center"/>
      </w:pPr>
      <w:r>
        <w:rPr>
          <w:rFonts w:ascii="Times New Roman" w:cs="Times New Roman" w:eastAsia="Times New Roman" w:hAnsi="Times New Roman"/>
          <w:b/>
          <w:bCs/>
          <w:sz w:val="20"/>
          <w:szCs w:val="20"/>
        </w:rPr>
        <w:t xml:space="preserve">Figure 1. Left: share of hallucinations passing the L2+L3 cascade under independence, observed without routing, and observed with routing. Right: capacity k∗ by cascade (95% bootstrap CI over the evaluated pool), log scale.</w:t>
      </w:r>
    </w:p>
    <w:p>
      <w:pPr>
        <w:pStyle w:val="Heading2"/>
        <w:keepNext/>
        <w:spacing w:after="60" w:before="240" w:line="360"/>
      </w:pPr>
      <w:r>
        <w:rPr>
          <w:rFonts w:ascii="Times New Roman" w:cs="Times New Roman" w:eastAsia="Times New Roman" w:hAnsi="Times New Roman"/>
          <w:b/>
          <w:bCs/>
          <w:i/>
          <w:iCs/>
          <w:color w:val="000000"/>
          <w:sz w:val="24"/>
          <w:szCs w:val="24"/>
        </w:rPr>
        <w:t xml:space="preserve">5.3 Burstiness: Poisson-sized plans under Cox traffic</w:t>
      </w:r>
    </w:p>
    <w:p>
      <w:pPr>
        <w:spacing w:after="0" w:line="480"/>
        <w:ind w:firstLine="720"/>
        <w:jc w:val="left"/>
      </w:pPr>
      <w:r>
        <w:rPr>
          <w:rFonts w:ascii="Times New Roman" w:cs="Times New Roman" w:eastAsia="Times New Roman" w:hAnsi="Times New Roman"/>
          <w:sz w:val="24"/>
          <w:szCs w:val="24"/>
        </w:rPr>
        <w:t xml:space="preserve">With non-homogeneous Poisson arrivals and no burstiness the replay reproduces the Poisson structure, as it must by construction. For the unprotected stream the daily-count dispersion test does not reject (p = 0.53 to 0.91), raw inter-arrival times are strongly non-exponential because the intensity varies by the hour, and the time-rescaled gaps are consistent with Exp(1) (p = 0.50 to 0.85). This checks the replay and the estimators and shows that the rescaling machinery behaves as theory predicts. It is not evidence that real traffic is Poisson, because the arrivals are simulated.</w:t>
      </w:r>
    </w:p>
    <w:p>
      <w:pPr>
        <w:spacing w:after="0" w:line="480"/>
        <w:ind w:firstLine="720"/>
        <w:jc w:val="left"/>
      </w:pPr>
      <w:r>
        <w:rPr>
          <w:rFonts w:ascii="Times New Roman" w:cs="Times New Roman" w:eastAsia="Times New Roman" w:hAnsi="Times New Roman"/>
          <w:sz w:val="24"/>
          <w:szCs w:val="24"/>
        </w:rPr>
        <w:t xml:space="preserve">When the daily intensity is multiplied by a Gamma factor with a coefficient of variation of only 0.3, the dispersion test rejects overwhelmingly (p &lt; 10⁻⁹⁰ for the unprotected stream) and the negative-binomial shape parameter r lies between 12.7 and 13.4. The Poisson capacity k∗ = 136, 146, 108 for the three generators without guardrails is then exceeded on 23 to 28% of days instead of the targeted 5%. The correct negative-binomial requirement is 178, 194, 141, that is, 31 to 33% more (Figure 2). Under the best cascade (L1+L2, λ of about 4 to 17 per day) the effect is smaller in absolute capacity, but the Poisson plan is still exceeded on 10 to 11% of days (Table 6). Because the burstiness is injected, this replay confirms Proposition 2 and Table 1 on measured outcomes and is not an independent empirical finding. Provisioning at the mean was exceeded on 28 to 49% of days across all configurations we replayed, against the 5% target of the quantile plan.</w:t>
      </w:r>
    </w:p>
    <w:p>
      <w:pPr>
        <w:spacing w:before="200"/>
        <w:jc w:val="center"/>
      </w:pPr>
      <w:r>
        <w:drawing>
          <wp:inline distT="0" distB="0" distL="0" distR="0">
            <wp:extent cx="5715000" cy="2095500"/>
            <wp:effectExtent t="0" r="0" b="0" l="0"/>
            <wp:docPr id="1" name="Figure 2. Daily critical hallucinations without guardrails (Qwen2.5-0.5B, 90 days, 200 queries/day). Left: steady NHPP traffic. Right: bursty traffic. Dotted line: Poisson k* (α = 0.95)." descr="Figure 2. Daily critical hallucinations without guardrails (Qwen2.5-0.5B, 90 days, 200 queries/day). Left: steady NHPP traffic. Right: bursty traffic. Dotted line: Poisson k* (α = 0.95)." title="Figure 2. Daily critical hallucinations without guardrails (Qwen2.5-0.5B, 90 days, 200 queries/day). Left: steady NHPP traffic. Right: bursty traffic. Dotted line: Poisson k* (α = 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95500"/>
                    </a:xfrm>
                    <a:prstGeom prst="rect">
                      <a:avLst/>
                    </a:prstGeom>
                  </pic:spPr>
                </pic:pic>
              </a:graphicData>
            </a:graphic>
          </wp:inline>
        </w:drawing>
      </w:r>
    </w:p>
    <w:p>
      <w:pPr>
        <w:spacing w:after="240" w:before="60" w:line="276"/>
        <w:jc w:val="center"/>
      </w:pPr>
      <w:r>
        <w:rPr>
          <w:rFonts w:ascii="Times New Roman" w:cs="Times New Roman" w:eastAsia="Times New Roman" w:hAnsi="Times New Roman"/>
          <w:b/>
          <w:bCs/>
          <w:sz w:val="20"/>
          <w:szCs w:val="20"/>
        </w:rPr>
        <w:t xml:space="preserve">Figure 2. Daily critical hallucinations without guardrails (Qwen2.5-0.5B, 90 days, 200 queries/day). Left: steady NHPP traffic. Right: bursty traffic. Dotted line: Poisson k∗ (α = 0.95).</w:t>
      </w:r>
    </w:p>
    <w:p>
      <w:pPr>
        <w:spacing w:after="0" w:line="480"/>
        <w:ind w:firstLine="720"/>
        <w:jc w:val="left"/>
      </w:pPr>
      <w:r>
        <w:rPr>
          <w:rFonts w:ascii="Times New Roman" w:cs="Times New Roman" w:eastAsia="Times New Roman" w:hAnsi="Times New Roman"/>
          <w:sz w:val="24"/>
          <w:szCs w:val="24"/>
        </w:rPr>
        <w:t xml:space="preserve">To place the scenario values in context, the smallest coefficient of variation of any 14-day window of BurstGPT is 0.44, a floor for a trace whose median window has 0.91 (Section 5.5), while the daily-rate coefficient of variation net of trend in public ticket streams is 0.10 to 0.38 (Section 5.6; 0.25 to 0.41 before exclusions). Table 6 gives the exceedance rates under the two scenario values, the second combined with the BurstGPT hour-of-day profile. The gap shrinks with guardrails but does not vanish: for the best cascade the Poisson plan is exceeded on 7 to 16% of days at c = 0.44, against 30 to 32% without guardrails. This is what Propositions 2 and 3 lead one to expect. For a given c, φ = 1 + λc² is smaller when the event rate is smaller, so over-dispersion inflates the safety stock by fewer units (about 5, 1, 8 extra), although the exceedance probability remains between 1.3 and 3 times the target.</w:t>
      </w:r>
    </w:p>
    <w:p>
      <w:pPr>
        <w:keepNext/>
        <w:spacing w:after="80" w:before="240" w:line="276"/>
      </w:pPr>
      <w:r>
        <w:rPr>
          <w:rFonts w:ascii="Times New Roman" w:cs="Times New Roman" w:eastAsia="Times New Roman" w:hAnsi="Times New Roman"/>
          <w:b/>
          <w:bCs/>
          <w:sz w:val="22"/>
          <w:szCs w:val="22"/>
        </w:rPr>
        <w:t xml:space="preserve">Table 6. Share of days on which the Poisson-sized capacity k∗ is exceeded (target 5%; 90 simulated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500"/>
        <w:gridCol w:w="1100"/>
        <w:gridCol w:w="2000"/>
        <w:gridCol w:w="2260"/>
      </w:tblGrid>
      <w:tr>
        <w:trPr>
          <w:tblHeader/>
        </w:trPr>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Generator</w:t>
            </w:r>
          </w:p>
        </w:tc>
        <w:tc>
          <w:tcPr>
            <w:tcW w:type="dxa" w:w="10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Cascade</w:t>
            </w:r>
          </w:p>
        </w:tc>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Steady NHPP (c = 0)</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 = 0.3</w:t>
            </w:r>
          </w:p>
        </w:tc>
        <w:tc>
          <w:tcPr>
            <w:tcW w:type="dxa" w:w="20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 = 0.44 + BurstGPT profile</w:t>
            </w:r>
          </w:p>
        </w:tc>
        <w:tc>
          <w:tcPr>
            <w:tcW w:type="dxa" w:w="22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Poisson → k∗ negative-binomial (c = 0.44)</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none</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6.7%</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25.6%</w:t>
            </w:r>
          </w:p>
        </w:tc>
        <w:tc>
          <w:tcPr>
            <w:tcW w:type="dxa" w:w="2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32.2%</w:t>
            </w:r>
          </w:p>
        </w:tc>
        <w:tc>
          <w:tcPr>
            <w:tcW w:type="dxa" w:w="2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135 → 209</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L1+L2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14.4%</w:t>
            </w:r>
          </w:p>
        </w:tc>
        <w:tc>
          <w:tcPr>
            <w:tcW w:type="dxa" w:w="2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 → 23</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none</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5.6%</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27.8%</w:t>
            </w:r>
          </w:p>
        </w:tc>
        <w:tc>
          <w:tcPr>
            <w:tcW w:type="dxa" w:w="2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32.2%</w:t>
            </w:r>
          </w:p>
        </w:tc>
        <w:tc>
          <w:tcPr>
            <w:tcW w:type="dxa" w:w="2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144 → 225</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L1+L2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5.6%</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11.1%</w:t>
            </w:r>
          </w:p>
        </w:tc>
        <w:tc>
          <w:tcPr>
            <w:tcW w:type="dxa" w:w="2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6.7%</w:t>
            </w:r>
          </w:p>
        </w:tc>
        <w:tc>
          <w:tcPr>
            <w:tcW w:type="dxa" w:w="2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 → 9</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none</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8.9%</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23.3%</w:t>
            </w:r>
          </w:p>
        </w:tc>
        <w:tc>
          <w:tcPr>
            <w:tcW w:type="dxa" w:w="2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30.0%</w:t>
            </w:r>
          </w:p>
        </w:tc>
        <w:tc>
          <w:tcPr>
            <w:tcW w:type="dxa" w:w="2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106 → 162</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L1+L2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15.6%</w:t>
            </w:r>
          </w:p>
        </w:tc>
        <w:tc>
          <w:tcPr>
            <w:tcW w:type="dxa" w:w="2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 → 32</w:t>
            </w:r>
          </w:p>
        </w:tc>
      </w:tr>
    </w:tbl>
    <w:p>
      <w:pPr>
        <w:spacing w:after="240" w:before="60" w:line="240"/>
      </w:pPr>
      <w:r>
        <w:rPr>
          <w:rFonts w:ascii="Times New Roman" w:cs="Times New Roman" w:eastAsia="Times New Roman" w:hAnsi="Times New Roman"/>
          <w:i/>
          <w:iCs/>
          <w:sz w:val="18"/>
          <w:szCs w:val="18"/>
        </w:rPr>
        <w:t xml:space="preserve">Observed over 90 simulated days, so each share has a standard error of about 2 to 5 percentage points. L1+L2 is the best cascade by the objective of Section 4.4 within the 500 ms budget; it is not the minimum-dollar cascade of Section 5.4.</w:t>
      </w:r>
    </w:p>
    <w:p>
      <w:pPr>
        <w:pStyle w:val="Heading2"/>
        <w:keepNext/>
        <w:spacing w:after="60" w:before="240" w:line="360"/>
      </w:pPr>
      <w:r>
        <w:rPr>
          <w:rFonts w:ascii="Times New Roman" w:cs="Times New Roman" w:eastAsia="Times New Roman" w:hAnsi="Times New Roman"/>
          <w:b/>
          <w:bCs/>
          <w:i/>
          <w:iCs/>
          <w:color w:val="000000"/>
          <w:sz w:val="24"/>
          <w:szCs w:val="24"/>
        </w:rPr>
        <w:t xml:space="preserve">5.4 Capacity, latency and cost by cascade</w:t>
      </w:r>
    </w:p>
    <w:p>
      <w:pPr>
        <w:spacing w:after="0" w:line="480"/>
        <w:ind w:firstLine="720"/>
        <w:jc w:val="left"/>
      </w:pPr>
      <w:r>
        <w:rPr>
          <w:rFonts w:ascii="Times New Roman" w:cs="Times New Roman" w:eastAsia="Times New Roman" w:hAnsi="Times New Roman"/>
          <w:sz w:val="24"/>
          <w:szCs w:val="24"/>
        </w:rPr>
        <w:t xml:space="preserve">Table 7 gives, for each generator, the residual rate, the capacity, the added latency and the volume of false blocks for the main cascades at 200 queries per day, with bootstrap intervals over the evaluated pool. At a pool of 300 questions the intervals are wide, so differences of a few units of k∗ between cascades are not significant; the large differences are.</w:t>
      </w:r>
    </w:p>
    <w:p>
      <w:pPr>
        <w:keepNext/>
        <w:spacing w:after="80" w:before="240" w:line="276"/>
      </w:pPr>
      <w:r>
        <w:rPr>
          <w:rFonts w:ascii="Times New Roman" w:cs="Times New Roman" w:eastAsia="Times New Roman" w:hAnsi="Times New Roman"/>
          <w:b/>
          <w:bCs/>
          <w:sz w:val="22"/>
          <w:szCs w:val="22"/>
        </w:rPr>
        <w:t xml:space="preserve">Table 7. Cascade performance at 200 queries/day, α = 0.95, SLA 500 ms mean added latency (95% bootstrap CI in brackets)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700"/>
        <w:gridCol w:w="1300"/>
        <w:gridCol w:w="1500"/>
        <w:gridCol w:w="1300"/>
        <w:gridCol w:w="1260"/>
      </w:tblGrid>
      <w:tr>
        <w:trPr>
          <w:tblHeader/>
        </w:trPr>
        <w:tc>
          <w:tcPr>
            <w:tcW w:type="dxa" w:w="14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Generator</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Cascade</w:t>
            </w:r>
          </w:p>
        </w:tc>
        <w:tc>
          <w:tcPr>
            <w:tcW w:type="dxa" w:w="17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λ per day</w:t>
            </w:r>
          </w:p>
        </w:tc>
        <w:tc>
          <w:tcPr>
            <w:tcW w:type="dxa" w:w="1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w:t>
            </w:r>
          </w:p>
        </w:tc>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Mean added latency (ms)</w:t>
            </w:r>
          </w:p>
        </w:tc>
        <w:tc>
          <w:tcPr>
            <w:tcW w:type="dxa" w:w="1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False blocks / day</w:t>
            </w:r>
          </w:p>
        </w:tc>
        <w:tc>
          <w:tcPr>
            <w:tcW w:type="dxa" w:w="12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System failures / day</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none</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120.7 [109, 132]</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139 [126, 151]</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L1+L2</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12.7 [7, 18]</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 [12, 25]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12.7</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L2</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12.7 [7, 18]</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 [12, 25]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98</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12.0</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L3</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50.7 [39, 60]</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63 [49, 73]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1759 ✗</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19.3</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L2+L3</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11.3 [7, 17]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 [11, 24]</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16.7</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none</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130.0 [120, 142]</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149 [138, 162]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L1+L2</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 [1, 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 [3, 12]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93</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48.7</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L2</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 [1, 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 [3, 12]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48.7</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L3</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67.3 [58, 78]</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81 [71, 94]</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1780 ✗</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11.3</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L2+L3</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 [1, 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 [3, 12]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249</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50.7</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6.7</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none</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94.0 [82, 106]</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110 [97, 123]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L1+L2</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17.3 [12, 24]</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 [18, 32]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14.0</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L2</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17.3 [12, 24]</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 [18, 32]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88</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14.0</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L3</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38.7 [29, 48]</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 [39, 60]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1596 ✗</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20.7</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49.3</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L2+L3</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16.7 [11, 23]</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 [16, 31]</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279</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19.3</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6.7</w:t>
            </w:r>
          </w:p>
        </w:tc>
      </w:tr>
    </w:tbl>
    <w:p>
      <w:pPr>
        <w:spacing w:after="240" w:before="60" w:line="240"/>
      </w:pPr>
      <w:r>
        <w:rPr>
          <w:rFonts w:ascii="Times New Roman" w:cs="Times New Roman" w:eastAsia="Times New Roman" w:hAnsi="Times New Roman"/>
          <w:i/>
          <w:iCs/>
          <w:sz w:val="18"/>
          <w:szCs w:val="18"/>
        </w:rPr>
        <w:t xml:space="preserve">L2+L3 is the routed cascade (the judge is called only if the L2 score is below 0.9); L3 alone runs the judge on every answer. ✗ marks a violation of the 500 ms budget. Mean added latency is per query, including abstentions, which bypass the guardrails, so it differs from the per-layer means of Table 5; each judge call is capped at the 2 s timeout, after which its verdict is discarded and it counts as a system failure. L1+L2 and L1+L2+L3 equal L2 and L2+L3 up to small differences because L1 is nearly inert on this task.</w:t>
      </w:r>
    </w:p>
    <w:p>
      <w:pPr>
        <w:spacing w:after="0" w:line="480"/>
        <w:ind w:firstLine="720"/>
        <w:jc w:val="left"/>
      </w:pPr>
      <w:r>
        <w:rPr>
          <w:rFonts w:ascii="Times New Roman" w:cs="Times New Roman" w:eastAsia="Times New Roman" w:hAnsi="Times New Roman"/>
          <w:sz w:val="24"/>
          <w:szCs w:val="24"/>
        </w:rPr>
        <w:t xml:space="preserve">A single task-specific verifier (L2) reduces required capacity from 139, 149, 110 to 19, 8, 24 units per day, a reduction of 78 to 95%. Adding the routed judge changes it to 17, 8, 24, a difference of 2, 0, 0 units, while it roughly triples added latency and adds about six system failures per day through timeouts. Running the judge on every answer is infeasible under any latency budget we consider (about 1.6 to 1.8 s per query) and produces 50 to 60 system failures per day. Under a 100 ms budget only L1 and L2 are feasible (L2 takes 90 to 100 ms here); under 500 ms the routed judge fits on average but not at the 95th percentile (1.8 to 1.9 s). Latencies would be much lower on GPUs or hosted inference.</w:t>
      </w:r>
    </w:p>
    <w:p>
      <w:pPr>
        <w:spacing w:after="0" w:line="480"/>
        <w:ind w:firstLine="720"/>
        <w:jc w:val="left"/>
      </w:pPr>
      <w:r>
        <w:rPr>
          <w:rFonts w:ascii="Times New Roman" w:cs="Times New Roman" w:eastAsia="Times New Roman" w:hAnsi="Times New Roman"/>
          <w:sz w:val="24"/>
          <w:szCs w:val="24"/>
        </w:rPr>
        <w:t xml:space="preserve">The best cascade by the objective of Section 4.4 is L1+L2 for all three generators. At the scenario costs the minimum-dollar cascade is L1+L2+L3 for Qwen2.5-0.5B, L1+L2 for SmolLM2-360M, L1+L2+L3 for Qwen2.5-1.5B, and the daily cost falls from $32,917, $35,350, $25,900 without guardrails to $3,700, $1,649, $5,286 at the minimum. The paired bootstrap interval of the daily saving from adding the routed judge to L1+L2 is $429 [-$5, $931]; -$2 [-$5, $0]; $61 [-$9, $646] for the three generators. It is positive but not distinguishable from zero for the two Qwen generators and slightly negative for SmolLM2-360M, whose classifier leaves only 6 of its 195 hallucinations for the judge to catch, and the judge caught none. Under the fail-open policy, then, the judge does not demonstrably pay for itself for any generator.</w:t>
      </w:r>
    </w:p>
    <w:p>
      <w:pPr>
        <w:spacing w:after="0" w:line="480"/>
        <w:ind w:firstLine="720"/>
        <w:jc w:val="left"/>
      </w:pPr>
      <w:r>
        <w:rPr>
          <w:rFonts w:ascii="Times New Roman" w:cs="Times New Roman" w:eastAsia="Times New Roman" w:hAnsi="Times New Roman"/>
          <w:sz w:val="24"/>
          <w:szCs w:val="24"/>
        </w:rPr>
        <w:t xml:space="preserve">The result depends on the timeout policy. If slow judge verdicts were awaited and credited, the stand-alone clearance of L3 would be 63 to 84% instead of 48 to 59%, the routed cascade would need k∗ = 15, 8, 21, and the saving from adding the judge would be $929 [$274, $1,861]; -$2 [-$5, $0]; $709 [$130, $1,575]. The judge's apparent value therefore depends on accepting latencies above 2 s. Residual hallucinations after L2 are few (19, 6, 26 of 300 questions), the 27-scenario grid varies cost parameters without reflecting sampling error, and the runs share their questions, so none of the differences between generators is a general finding. What the data do support is that the classifier is the dominant layer, the deterministic layer is nearly free but also nearly useless on this task, and the judge's marginal value is small and uncertain.</w:t>
      </w:r>
    </w:p>
    <w:p>
      <w:pPr>
        <w:pStyle w:val="Heading2"/>
        <w:keepNext/>
        <w:spacing w:after="60" w:before="240" w:line="360"/>
      </w:pPr>
      <w:r>
        <w:rPr>
          <w:rFonts w:ascii="Times New Roman" w:cs="Times New Roman" w:eastAsia="Times New Roman" w:hAnsi="Times New Roman"/>
          <w:b/>
          <w:bCs/>
          <w:i/>
          <w:iCs/>
          <w:color w:val="000000"/>
          <w:sz w:val="24"/>
          <w:szCs w:val="24"/>
        </w:rPr>
        <w:t xml:space="preserve">5.5 Evidence from public production traces</w:t>
      </w:r>
    </w:p>
    <w:p>
      <w:pPr>
        <w:keepNext/>
        <w:spacing w:after="0" w:before="120" w:line="360"/>
      </w:pPr>
      <w:r>
        <w:rPr>
          <w:rFonts w:ascii="Times New Roman" w:cs="Times New Roman" w:eastAsia="Times New Roman" w:hAnsi="Times New Roman"/>
          <w:i/>
          <w:iCs/>
          <w:sz w:val="24"/>
          <w:szCs w:val="24"/>
        </w:rPr>
        <w:t xml:space="preserve">Request arrivals (BurstGPT).</w:t>
      </w:r>
    </w:p>
    <w:p>
      <w:pPr>
        <w:spacing w:after="0" w:line="480"/>
        <w:ind w:firstLine="720"/>
        <w:jc w:val="left"/>
      </w:pPr>
      <w:r>
        <w:rPr>
          <w:rFonts w:ascii="Times New Roman" w:cs="Times New Roman" w:eastAsia="Times New Roman" w:hAnsi="Times New Roman"/>
          <w:sz w:val="24"/>
          <w:szCs w:val="24"/>
        </w:rPr>
        <w:t xml:space="preserve">The Azure OpenAI trace has 10.6 million requests over 231 recorded days, and 4.6% of requests failed (zero response tokens). The hour-of-day profile has a peak-to-trough ratio of 2.2, so the arrival process is clearly non-homogeneous, as the NHPP formulation assumes. Within an hour, counts are more variable than Poisson. The median variance-to-mean ratio of counts per bin (Poisson = 1) is 1.4 at 1 s, 5.3 at 10 s, 3.9 at 1 min and 5.1 at 10 min, so requests are clustered at every scale from 1 s upward, mildly at 1 s and strongly from 10 s. By Proposition 3, an unprotected hallucination stream with p = 0.6 would inherit about 3.5 of that dispersion at the 10-minute scale, whereas a cascade with a residual probability of 0.05 would retain about 1.2.</w:t>
      </w:r>
    </w:p>
    <w:p>
      <w:pPr>
        <w:spacing w:after="0" w:line="480"/>
        <w:ind w:firstLine="720"/>
        <w:jc w:val="left"/>
      </w:pPr>
      <w:r>
        <w:rPr>
          <w:rFonts w:ascii="Times New Roman" w:cs="Times New Roman" w:eastAsia="Times New Roman" w:hAnsi="Times New Roman"/>
          <w:sz w:val="24"/>
          <w:szCs w:val="24"/>
        </w:rPr>
        <w:t xml:space="preserve">Day-to-day volume is extremely variable: the median day has 19,024 requests, with a range from 52 to 425,604. The median absolute day-to-day log change is 0.61, a factor of 1.8, and 73% of days differ from the previous day by more than 30%. Net of the local level (the day count over the mean of the 14 neighbouring days), the coefficient of variation is 1.22 in days 0 to 120 and 2.77 in days 225 to 334. The smallest coefficient of variation of any of the 163 14-day windows with all days above 1,000 requests is 0.44, against a median window value of 0.91. We therefore treat 0.44 as a floor for the variability of this trace, not an estimate comparable to the net-of-trend values of Section 5.6. The variability reflects traffic growth, campaigns, regime shifts and probably logging gaps as well as random fluctuation (the series also contains 7 near-duplicate day pairs, which we treat as a data artefact), so we use it as a stress test and not as an estimate of the dispersion of hallucination counts. In that stress test we replay the measured multipliers, rescaled to mean 1, on event streams with means of 10 and 120 per day. The Poisson plan is exceeded on 23% and 31% of days with the multipliers of days 0 to 120, and on 16% and 23% with those of days 225 to 334, which are inflated by regime shifts.</w:t>
      </w:r>
    </w:p>
    <w:p>
      <w:pPr>
        <w:keepNext/>
        <w:spacing w:after="0" w:before="120" w:line="360"/>
      </w:pPr>
      <w:r>
        <w:rPr>
          <w:rFonts w:ascii="Times New Roman" w:cs="Times New Roman" w:eastAsia="Times New Roman" w:hAnsi="Times New Roman"/>
          <w:i/>
          <w:iCs/>
          <w:sz w:val="24"/>
          <w:szCs w:val="24"/>
        </w:rPr>
        <w:t xml:space="preserve">Service incidents (LLM providers).</w:t>
      </w:r>
    </w:p>
    <w:p>
      <w:pPr>
        <w:spacing w:after="0" w:line="480"/>
        <w:ind w:firstLine="720"/>
        <w:jc w:val="left"/>
      </w:pPr>
      <w:r>
        <w:rPr>
          <w:rFonts w:ascii="Times New Roman" w:cs="Times New Roman" w:eastAsia="Times New Roman" w:hAnsi="Times New Roman"/>
          <w:sz w:val="24"/>
          <w:szCs w:val="24"/>
        </w:rPr>
        <w:t xml:space="preserve">Between March 2023 and August 2024 the three providers declared 457 incidents, or 0.83 per day. Incident starts are strongly non-homogeneous: the mean weekday count is 4.1 times the mean weekend count, and hour-of-day homogeneity is rejected for every provider and subset. A homogeneous Poisson model is rejected on every inter-arrival and dispersion test. Allowing for weekly and daily seasonality removes part of the lack of fit but not all of it. The daily index of dispersion is 1.53 and still 1.30 after stratifying by day of week (p = 6×10⁻6), and a negative-binomial fit to daily counts gives r ≈ 1.6. Part of this over-dispersion probably reflects a changing incident rate over the 18 months, which a weekday-stratified test does not remove (Section 5.7 adjusts the baseline for it). The practical consequence at this low rate is small: the Poisson and negative-binomial 95% capacities coincide (3 incident per day), and the Poisson capacity is exceeded on 3.5% of days, below the 5% target. This agrees with Proposition 2, since φ = 1 + λc² remains modest, about 1.2 to 1.5 here, when λ is below one per day.</w:t>
      </w:r>
    </w:p>
    <w:p>
      <w:pPr>
        <w:spacing w:after="0" w:line="480"/>
        <w:ind w:firstLine="720"/>
        <w:jc w:val="left"/>
      </w:pPr>
      <w:r>
        <w:rPr>
          <w:rFonts w:ascii="Times New Roman" w:cs="Times New Roman" w:eastAsia="Times New Roman" w:hAnsi="Times New Roman"/>
          <w:sz w:val="24"/>
          <w:szCs w:val="24"/>
        </w:rPr>
        <w:t xml:space="preserve">Incident duration, measured from declared start to resolution, serves as a proxy for human response time. It has a median of 1.0 h, a 90th percentile of 5.1 h and a 99th percentile of 34 h; the mean is 3.1 h and the coefficient of variation 3.5, so response times are heavy-tailed and far from exponential. The 95th percentile of the number of concurrently open incidents is 1, the same as for a Poisson occupancy with that mean (1), and two or more incidents are open at once 0.7% of the time. A single standing responder therefore covers 95% of the time at provider level, and the heavy tail of durations accounts for the rare long overruns. These are provider-declared outages and degradations, not hallucinations, so they inform the arrival and service-time structure of an LLM incident stream but not its rate.</w:t>
      </w:r>
    </w:p>
    <w:p>
      <w:pPr>
        <w:keepNext/>
        <w:spacing w:after="0" w:before="120" w:line="360"/>
      </w:pPr>
      <w:r>
        <w:rPr>
          <w:rFonts w:ascii="Times New Roman" w:cs="Times New Roman" w:eastAsia="Times New Roman" w:hAnsi="Times New Roman"/>
          <w:i/>
          <w:iCs/>
          <w:sz w:val="24"/>
          <w:szCs w:val="24"/>
        </w:rPr>
        <w:t xml:space="preserve">Dated hallucination cases (court decisions).</w:t>
      </w:r>
    </w:p>
    <w:p>
      <w:pPr>
        <w:spacing w:after="0" w:line="480"/>
        <w:ind w:firstLine="720"/>
        <w:jc w:val="left"/>
      </w:pPr>
      <w:r>
        <w:rPr>
          <w:rFonts w:ascii="Times New Roman" w:cs="Times New Roman" w:eastAsia="Times New Roman" w:hAnsi="Times New Roman"/>
          <w:sz w:val="24"/>
          <w:szCs w:val="24"/>
        </w:rPr>
        <w:t xml:space="preserve">The only public, dated log of hallucination incidents we found is a curated database of court decisions in which a party relied on fabricated AI content (Charlotin 2026; 2,149 dated cases, 2023-04-14 to 2026-10-01). It is confined to the legal domain, the date is the decision date at day resolution, and detection and reporting bias is strong. Counts grew from a handful per month to over a hundred in 2025, so we analyse only the flatter period from October 2025 to August 2026 (1,527 cases, 6.3 per weekday), and exclude September and October 2026 because recent months are incomplete. In that period weekday counts are over-dispersed relative to Poisson (day-of-week-stratified index 1.40, p = 1×10⁻4; daily-rate coefficient of variation net of trend 0.24). Part of this comes from the 10 US federal-holiday weekdays; without them the index is 1.25 and the coefficient of variation 0.18, a weak over-dispersion. At about six cases per weekday the effect on capacity is small: the 95% capacity is 11 under Poisson and 12 under a negative binomial with the stratified index, and a Poisson plan against the local mean is exceeded on 6.3% of weekdays (5.6% with a causal plan). This is consistent with Proposition 2 and with the other low-rate streams. It is, to our knowledge, the only dispersion estimate for dated hallucination incidents that public data allow, subject to the caveats above.</w:t>
      </w:r>
    </w:p>
    <w:p>
      <w:pPr>
        <w:pStyle w:val="Heading2"/>
        <w:keepNext/>
        <w:spacing w:after="60" w:before="240" w:line="360"/>
      </w:pPr>
      <w:r>
        <w:rPr>
          <w:rFonts w:ascii="Times New Roman" w:cs="Times New Roman" w:eastAsia="Times New Roman" w:hAnsi="Times New Roman"/>
          <w:b/>
          <w:bCs/>
          <w:i/>
          <w:iCs/>
          <w:color w:val="000000"/>
          <w:sz w:val="24"/>
          <w:szCs w:val="24"/>
        </w:rPr>
        <w:t xml:space="preserve">5.6 Human triage workloads in public ticket data</w:t>
      </w:r>
    </w:p>
    <w:p>
      <w:pPr>
        <w:spacing w:after="0" w:line="480"/>
        <w:ind w:firstLine="720"/>
        <w:jc w:val="left"/>
      </w:pPr>
      <w:r>
        <w:rPr>
          <w:rFonts w:ascii="Times New Roman" w:cs="Times New Roman" w:eastAsia="Times New Roman" w:hAnsi="Times New Roman"/>
          <w:sz w:val="24"/>
          <w:szCs w:val="24"/>
        </w:rPr>
        <w:t xml:space="preserve">The fourth family of public data concerns what happens after an incident has been detected: how tickets arrive at, and are worked by, human teams in real organisations. The streams are customer-support and IT-incident tickets and not LLM incidents, but they are the best public evidence we know of on the arrival variability and the service-time distribution of human triage. Each stream is analysed for all work days and with holiday and low-volume days excluded by the rules of Appendix B; in Table 8 each cell reads "all days → excluded".</w:t>
      </w:r>
    </w:p>
    <w:p>
      <w:pPr>
        <w:keepNext/>
        <w:spacing w:after="80" w:before="240" w:line="276"/>
      </w:pPr>
      <w:r>
        <w:rPr>
          <w:rFonts w:ascii="Times New Roman" w:cs="Times New Roman" w:eastAsia="Times New Roman" w:hAnsi="Times New Roman"/>
          <w:b/>
          <w:bCs/>
          <w:sz w:val="22"/>
          <w:szCs w:val="22"/>
        </w:rPr>
        <w:t xml:space="preserve">Table 8. Arrival structure of human-handled ticket streams (work days only; Poisson plan = 95% quantile of Poisson with the local mean)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150"/>
        <w:gridCol w:w="1100"/>
        <w:gridCol w:w="1250"/>
        <w:gridCol w:w="1050"/>
        <w:gridCol w:w="1050"/>
        <w:gridCol w:w="900"/>
      </w:tblGrid>
      <w:tr>
        <w:trPr>
          <w:tblHeader/>
        </w:trPr>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Stream</w:t>
            </w:r>
          </w:p>
        </w:tc>
        <w:tc>
          <w:tcPr>
            <w:tcW w:type="dxa" w:w="10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Tickets (per work day)</w:t>
            </w:r>
          </w:p>
        </w:tc>
        <w:tc>
          <w:tcPr>
            <w:tcW w:type="dxa" w:w="11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Work-day-stratified dispersion index (includes slow trends)</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Daily rate CV net of trend and weekday</w:t>
            </w:r>
          </w:p>
        </w:tc>
        <w:tc>
          <w:tcPr>
            <w:tcW w:type="dxa" w:w="12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Poisson plan exceeded: in-sample local mean</w:t>
            </w:r>
          </w:p>
        </w:tc>
        <w:tc>
          <w:tcPr>
            <w:tcW w:type="dxa" w:w="10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NB plan exceeded: in-sample</w:t>
            </w:r>
          </w:p>
        </w:tc>
        <w:tc>
          <w:tcPr>
            <w:tcW w:type="dxa" w:w="10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Poisson plan exceeded: causal</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NB plan exceeded: causal</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Software company (customer tickets 2017-23)</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22,016 (13.1)</w:t>
            </w:r>
          </w:p>
        </w:tc>
        <w:tc>
          <w:tcPr>
            <w:tcW w:type="dxa" w:w="11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 → 3.1</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0.32 → 0.27</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9.0% → 7.8%</w:t>
            </w:r>
          </w:p>
        </w:tc>
        <w:tc>
          <w:tcPr>
            <w:tcW w:type="dxa" w:w="10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3.4% → 4.0%</w:t>
            </w:r>
          </w:p>
        </w:tc>
        <w:tc>
          <w:tcPr>
            <w:tcW w:type="dxa" w:w="10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9.6% → 8.6%</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 → 2.5%</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ServiceNow incidents (12-week segment, 2016)</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22,035 (350.2)</w:t>
            </w:r>
          </w:p>
        </w:tc>
        <w:tc>
          <w:tcPr>
            <w:tcW w:type="dxa" w:w="11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25.2 → 5.9</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0.25 → 0.10</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35.0% → 20.0%</w:t>
            </w:r>
          </w:p>
        </w:tc>
        <w:tc>
          <w:tcPr>
            <w:tcW w:type="dxa" w:w="10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 → 5.5%</w:t>
            </w:r>
          </w:p>
        </w:tc>
        <w:tc>
          <w:tcPr>
            <w:tcW w:type="dxa" w:w="10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15.0% → 6.7% (20 → 15 days)</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 → 0.0%</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Italian software help desk (2010-12)</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3,804 (5.3)</w:t>
            </w:r>
          </w:p>
        </w:tc>
        <w:tc>
          <w:tcPr>
            <w:tcW w:type="dxa" w:w="11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 → 2.4</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0.41 → 0.38</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7.5% → 7.2%</w:t>
            </w:r>
          </w:p>
        </w:tc>
        <w:tc>
          <w:tcPr>
            <w:tcW w:type="dxa" w:w="10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 → 3.8%</w:t>
            </w:r>
          </w:p>
        </w:tc>
        <w:tc>
          <w:tcPr>
            <w:tcW w:type="dxa" w:w="10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9.7% → 8.7%</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2.9% → 2.8%</w:t>
            </w:r>
          </w:p>
        </w:tc>
      </w:tr>
    </w:tbl>
    <w:p>
      <w:pPr>
        <w:spacing w:after="240" w:before="60" w:line="240"/>
      </w:pPr>
      <w:r>
        <w:rPr>
          <w:rFonts w:ascii="Times New Roman" w:cs="Times New Roman" w:eastAsia="Times New Roman" w:hAnsi="Times New Roman"/>
          <w:i/>
          <w:iCs/>
          <w:sz w:val="18"/>
          <w:szCs w:val="18"/>
        </w:rPr>
        <w:t xml:space="preserve">Each cell: all work days → low-volume or holiday days excluded (software company and ServiceNow: days below 35% of the rolling median, 62 and 5 days; Italian help desk: national holidays, 26 days). Target exceedance is 5%. The dispersion index includes slow trends, whereas the CV is net of a local level, so the two are not directly comparable. In-sample: the local mean is a two-sided leave-one-out mean over about 40 surrounding work days after removing the weekday effect, and c is estimated from the same days that are scored, so neither is a feasible forecast. Causal: trailing 20-work-day mean, c estimated on earlier days only, rolling origin (the weekday effects are estimated on the full sample). The software company works Sunday to Thursday; the other work weeks are Monday to Friday.</w:t>
      </w:r>
    </w:p>
    <w:p>
      <w:pPr>
        <w:spacing w:after="0" w:line="480"/>
        <w:ind w:firstLine="720"/>
        <w:jc w:val="left"/>
      </w:pPr>
      <w:r>
        <w:rPr>
          <w:rFonts w:ascii="Times New Roman" w:cs="Times New Roman" w:eastAsia="Times New Roman" w:hAnsi="Times New Roman"/>
          <w:sz w:val="24"/>
          <w:szCs w:val="24"/>
        </w:rPr>
        <w:t xml:space="preserve">All streams are strongly non-homogeneous over the week and the day (weekend ticket rates are 0.09, 0.12 and 0.04 of work-day rates), and arrivals remain far from Poisson even after time-rescaling, because daily volumes vary beyond the weekly cycle. Net of slow trends and the weekday effect, the coefficient of variation of the daily rate is 0.32 → 0.27 for the software company, 0.41 → 0.38 for the Italian help desk and 0.25 → 0.10 for the ServiceNow segment, where holidays and bridge days account for most of the value. The dated hallucination cases of Section 5.5 give 0.24 → 0.18. These values are of the same order as our scenario values (c = 0.3 lies within the range after exclusions and c = 0.44 above it), though all of them come from non-LLM or legal-domain streams and we do not claim a universal value.</w:t>
      </w:r>
    </w:p>
    <w:p>
      <w:pPr>
        <w:spacing w:after="0" w:line="480"/>
        <w:ind w:firstLine="720"/>
        <w:jc w:val="left"/>
      </w:pPr>
      <w:r>
        <w:rPr>
          <w:rFonts w:ascii="Times New Roman" w:cs="Times New Roman" w:eastAsia="Times New Roman" w:hAnsi="Times New Roman"/>
          <w:sz w:val="24"/>
          <w:szCs w:val="24"/>
        </w:rPr>
        <w:t xml:space="preserve">Because φ = 1 + λc², the effect on capacity depends on the rate. Against the in-sample local mean, a Poisson-sized plan is exceeded on 7.8%, 7.2% and 20.0% of work days (about 14, 5 and 376 tickets per day) instead of 5%, and on 9.0%, 7.5% and 35.0% with all days. A causal plan, which is what an operator could actually use, is exceeded on 8.6% and 8.7% of days for the two long streams with the Poisson quantile, and on 2.5% and 2.8% with a negative-binomial quantile. The negative-binomial plan is thus somewhat conservative, for reasons we cannot identify from these data. The in-sample negative-binomial columns are a calibration check of Proposition 2 and not an out-of-sample test, since c is estimated on the days that are scored, and the causal evaluation of the 12-week ServiceNow segment covers only 15 days and is uninformative.</w:t>
      </w:r>
    </w:p>
    <w:p>
      <w:pPr>
        <w:spacing w:after="0" w:line="480"/>
        <w:ind w:firstLine="720"/>
        <w:jc w:val="left"/>
      </w:pPr>
      <w:r>
        <w:rPr>
          <w:rFonts w:ascii="Times New Roman" w:cs="Times New Roman" w:eastAsia="Times New Roman" w:hAnsi="Times New Roman"/>
          <w:sz w:val="24"/>
          <w:szCs w:val="24"/>
        </w:rPr>
        <w:t xml:space="preserve">Service times are heavy-tailed (Appendix C, Table C1). Resolution time has a median of 168 h against a mean of 699 h for the software company, 22 h against 178 h for ServiceNow, and 94 h against 211 h for the Italian help desk. The coefficients of variation are 3.0, 3.0 and 1.3, where an exponential distribution has 1, and the Weibull shapes of 0.36 to 0.51 indicate a decreasing hazard: a ticket that has stayed open for a long time is likely to stay open much longer. Two consequences follow for capacity planning. Models that assume exponential service are not supported, which is one more reason to size capacity from the quantile of the arrival count and to treat the service-time tail explicitly and not through a mean-based utilisation. And in the one stream with handling-time data (the software company, where workload is the in-progress hours of the tickets created that day, attributed to the creation day) the 95th percentile of the daily workload is 3.2 times its mean, against 1.9 for the daily ticket count. Capacity measured in handling hours thus needs a larger multiple of the mean than capacity measured in arrivals, and the unit of triage capacity of Section 3.1 should be defined for a typical ticket with the workload tail added separately. In-progress time is calendar time in a workflow state and not effort, and the comparison is not detrended, so the ratio is indicative only.</w:t>
      </w:r>
    </w:p>
    <w:p>
      <w:pPr>
        <w:spacing w:after="0" w:line="480"/>
        <w:ind w:firstLine="720"/>
        <w:jc w:val="left"/>
      </w:pPr>
      <w:r>
        <w:rPr>
          <w:rFonts w:ascii="Times New Roman" w:cs="Times New Roman" w:eastAsia="Times New Roman" w:hAnsi="Times New Roman"/>
          <w:sz w:val="24"/>
          <w:szCs w:val="24"/>
        </w:rPr>
        <w:t xml:space="preserve">For the software company and the Italian help desk, the time-average number of open tickets is 290 and 34, and the observed 95th percentile of open tickets is 20% and 16% higher than that of a Poisson occupancy with the same mean. This describes a static backlog plan sized with the long-run mean and is not a test of Poisson arrivals, because both logs change in volume over their span and a slowly varying volume alone produces such an excess.</w:t>
      </w:r>
    </w:p>
    <w:p>
      <w:pPr>
        <w:pStyle w:val="Heading2"/>
        <w:keepNext/>
        <w:spacing w:after="60" w:before="240" w:line="360"/>
      </w:pPr>
      <w:r>
        <w:rPr>
          <w:rFonts w:ascii="Times New Roman" w:cs="Times New Roman" w:eastAsia="Times New Roman" w:hAnsi="Times New Roman"/>
          <w:b/>
          <w:bCs/>
          <w:i/>
          <w:iCs/>
          <w:color w:val="000000"/>
          <w:sz w:val="24"/>
          <w:szCs w:val="24"/>
        </w:rPr>
        <w:t xml:space="preserve">5.7 Typed failure models on public production data</w:t>
      </w:r>
    </w:p>
    <w:p>
      <w:pPr>
        <w:spacing w:after="0" w:line="480"/>
        <w:ind w:firstLine="720"/>
        <w:jc w:val="left"/>
      </w:pPr>
      <w:r>
        <w:rPr>
          <w:rFonts w:ascii="Times New Roman" w:cs="Times New Roman" w:eastAsia="Times New Roman" w:hAnsi="Times New Roman"/>
          <w:sz w:val="24"/>
          <w:szCs w:val="24"/>
        </w:rPr>
        <w:t xml:space="preserve">We now fit the process classes of Section 3.6 to the two public failure datasets (the numbers are produced by run_failure_models.py).</w:t>
      </w:r>
    </w:p>
    <w:p>
      <w:pPr>
        <w:keepNext/>
        <w:spacing w:after="0" w:before="120" w:line="360"/>
      </w:pPr>
      <w:r>
        <w:rPr>
          <w:rFonts w:ascii="Times New Roman" w:cs="Times New Roman" w:eastAsia="Times New Roman" w:hAnsi="Times New Roman"/>
          <w:i/>
          <w:iCs/>
          <w:sz w:val="24"/>
          <w:szCs w:val="24"/>
        </w:rPr>
        <w:t xml:space="preserve">Provider incidents: weekly seasonality, a drifting level and mild self-excitation.</w:t>
      </w:r>
    </w:p>
    <w:p>
      <w:pPr>
        <w:spacing w:after="0" w:line="480"/>
        <w:ind w:firstLine="720"/>
        <w:jc w:val="left"/>
      </w:pPr>
      <w:r>
        <w:rPr>
          <w:rFonts w:ascii="Times New Roman" w:cs="Times New Roman" w:eastAsia="Times New Roman" w:hAnsi="Times New Roman"/>
          <w:sz w:val="24"/>
          <w:szCs w:val="24"/>
        </w:rPr>
        <w:t xml:space="preserve">The incident rate was not constant over the 18 months: monthly counts were 11 to 27 in the first twelve months and 27 to 54 afterwards (homogeneity across months rejected, χ² = 87 on 17 df). With a fixed seasonal profile and a constant level, a self-exciting term improves the fit for every stream (Table C2; AIC gains of 9 to 26, branching ratio 0.11 to 0.21), but part of this is the slowly changing level, which the self-excitation term can mimic. Once the baseline is multiplied by a monthly level, the estimated branching ratio falls to 0.05 to 0.09 (mean cluster size 1.06 to 1.10 incidents, half-life 1.5 to 3.8 h), the AIC gains shrink to 2 to 4, and the optimistic time-rescaling test no longer rejects the NHPP for the combined stream (p = 0.17), for OpenAI, or for the major and critical subset. A weekday-and-hour profile with a drifting level therefore describes most of the data. A weak residual self-excitation remains, roughly one incident in 11 to 18 being followed by a clustered successor, with borderline evidence, and Anthropic's rescaling test still rejects the NHPP (p = 0.016). The implied long-window Fano factor of 1.15 (Proposition 6b) is below the stratified dispersion index of 1.30 reported in Section 5.5, so part of the measured over-dispersion is the drifting level. The conclusion for planning is modest: provider incidents need a seasonal, level-adjusted baseline, and whether they also cluster is weakly supported and, at this rate, of small consequence.</w:t>
      </w:r>
    </w:p>
    <w:p>
      <w:pPr>
        <w:keepNext/>
        <w:spacing w:after="0" w:before="120" w:line="360"/>
      </w:pPr>
      <w:r>
        <w:rPr>
          <w:rFonts w:ascii="Times New Roman" w:cs="Times New Roman" w:eastAsia="Times New Roman" w:hAnsi="Times New Roman"/>
          <w:i/>
          <w:iCs/>
          <w:sz w:val="24"/>
          <w:szCs w:val="24"/>
        </w:rPr>
        <w:t xml:space="preserve">Serving failures: heavy-tailed episodes.</w:t>
      </w:r>
    </w:p>
    <w:p>
      <w:pPr>
        <w:spacing w:after="0" w:line="480"/>
        <w:ind w:firstLine="720"/>
        <w:jc w:val="left"/>
      </w:pPr>
      <w:r>
        <w:rPr>
          <w:rFonts w:ascii="Times New Roman" w:cs="Times New Roman" w:eastAsia="Times New Roman" w:hAnsi="Times New Roman"/>
          <w:sz w:val="24"/>
          <w:szCs w:val="24"/>
        </w:rPr>
        <w:t xml:space="preserve">In the BurstGPT trace, failed requests are concentrated. Outage-like episodes, defined as minutes with more than 20% failed requests and at least five failures, merged when ten minutes apart, cover 3.6% of active minutes and contain 68.1% of all 487,629 failures (26 to 96% across five definitions; Table C3). The 672 episodes have a median duration of 4 minutes (90th percentile 27, maximum 455) and heavy-tailed sizes: median 78 failed requests, mean 494, 99th percentile 10,419, maximum 27,908. A lognormal fit has σ = 1.70. The Hill estimator on the upper 20% gives a tail index of about 0.9, which at this sample size cannot distinguish a Pareto tail with infinite variance from a lognormal, so we do not read it as evidence of infinite variance. What matters for Proposition 6c is the second-moment ratio E[X²]/E[X] of episode sizes, which is 11,374 empirically and 5,838 under the lognormal fit. The Fano factor of failed-request counts that arrive in such episodes is thus in the thousands. Conditioning on daily request volume, which itself ranges from 52 to 425,604 requests, the Pearson dispersion of daily failed-request counts is 5,961, far from the value of about 1 for a Poisson-thinned stream. A Poisson description of failed requests is wrong by several orders of magnitude, even after allowing for traffic.</w:t>
      </w:r>
    </w:p>
    <w:p>
      <w:pPr>
        <w:spacing w:after="0" w:line="480"/>
        <w:ind w:firstLine="720"/>
        <w:jc w:val="left"/>
      </w:pPr>
      <w:r>
        <w:rPr>
          <w:rFonts w:ascii="Times New Roman" w:cs="Times New Roman" w:eastAsia="Times New Roman" w:hAnsi="Times New Roman"/>
          <w:sz w:val="24"/>
          <w:szCs w:val="24"/>
        </w:rPr>
        <w:t xml:space="preserve">The episodes themselves are not Poisson either. They average 2.9 per day, with a daily dispersion index of 19.9 unconditionally and 16.3 given daily volume, and their inter-arrival times have a coefficient of variation of 4.2. A Hawkes process fits much better than an NHPP when the baseline is the hour-of-day profile (AIC 4143 → 2374; branching ratio 0.85, half-life 2.4 h), and also when the baseline is proportional to the hourly request volume (AIC 3366 → 2326; branching ratio 0.74), although the rescaled-gap test still rejects the Hawkes fit. The branching ratio depends on how episodes are delimited (Table C3): it stays between 0.52 and 0.85 across five definitions and the heavy tail of sizes persists, but the unconditional daily dispersion index of episode counts ranges from 2.1 to 19.9, and a long outage may be split into several fragments. Only the direction, clustering and heavy tails, is robust.</w:t>
      </w:r>
    </w:p>
    <w:p>
      <w:pPr>
        <w:keepNext/>
        <w:spacing w:after="0" w:before="120" w:line="360"/>
      </w:pPr>
      <w:r>
        <w:rPr>
          <w:rFonts w:ascii="Times New Roman" w:cs="Times New Roman" w:eastAsia="Times New Roman" w:hAnsi="Times New Roman"/>
          <w:i/>
          <w:iCs/>
          <w:sz w:val="24"/>
          <w:szCs w:val="24"/>
        </w:rPr>
        <w:t xml:space="preserve">Capacity under the typed model.</w:t>
      </w:r>
    </w:p>
    <w:p>
      <w:pPr>
        <w:spacing w:after="0" w:line="480"/>
        <w:ind w:firstLine="720"/>
        <w:jc w:val="left"/>
      </w:pPr>
      <w:r>
        <w:rPr>
          <w:rFonts w:ascii="Times New Roman" w:cs="Times New Roman" w:eastAsia="Times New Roman" w:hAnsi="Times New Roman"/>
          <w:sz w:val="24"/>
          <w:szCs w:val="24"/>
        </w:rPr>
        <w:t xml:space="preserve">To see what the typed description changes for a human-triage plan, we combine three human-handled classes for an illustrative organisation, using parameters from our estimates and treating the classes as independent. The first is hallucinations after the classifier-only cascade L1+L2 (λ_H = 12.7 per day, from the Qwen2.5-0.5B run). Its daily-rate coefficient of variation c_H is assumed to lie between 0.3 and 0.45, close to the 0.27 and 0.38 estimated net of trend for the two long ticket streams (0.32 and 0.41 with all days), so φ_H = 1 + λ_Hc_H² is 2.14 to 3.57 by Proposition 2. The second is provider incidents affecting the organisation (λ_P = 0.83, φ_P = 1.30 from the stratified index). The third is own serving-failure episodes (λ_S from the episode counts over the 231 recorded days), with φ_S = 2.1 for the coarse definition, 19.9 for the fine one and 1.8 for the coarse definition conditioned on request volume.</w:t>
      </w:r>
    </w:p>
    <w:p>
      <w:pPr>
        <w:spacing w:after="0" w:line="480"/>
        <w:ind w:firstLine="720"/>
        <w:jc w:val="left"/>
      </w:pPr>
      <w:r>
        <w:rPr>
          <w:rFonts w:ascii="Times New Roman" w:cs="Times New Roman" w:eastAsia="Times New Roman" w:hAnsi="Times New Roman"/>
          <w:sz w:val="24"/>
          <w:szCs w:val="24"/>
        </w:rPr>
        <w:t xml:space="preserve">Treating the total as one Poisson stream gives a 95% capacity of 23 units per day with the fine definition and 21 with the coarse one, at c_H = 0.37. The typed superposition requires 33 and 25, and the single-Poisson plan is exceeded on 15.4% and 12.6% of days instead of 5% (Monte Carlo of 400,000 days; effective dispersion φ_eff = 2.6 to 5.7, Proposition 6a). Across the nine scenarios (three values of c_H and three treatments of the serving class), required capacity is 24 to 34 units against a single-Poisson plan of 21 to 23, which is 14 to 48% more, and the single-Poisson plan is exceeded on 10.4% to 17.2% of days. The hallucination class alone, whose dispersion is assumed, accounts for a gap of 21% (23 rather than 19 units). The provider class adds little, and the serving class widens the gap substantially only when it is treated as strongly over-dispersed (the fine episode definition, φ_S = 19.9).</w:t>
      </w:r>
    </w:p>
    <w:p>
      <w:pPr>
        <w:spacing w:after="0" w:line="480"/>
        <w:ind w:firstLine="720"/>
        <w:jc w:val="left"/>
      </w:pPr>
      <w:r>
        <w:rPr>
          <w:rFonts w:ascii="Times New Roman" w:cs="Times New Roman" w:eastAsia="Times New Roman" w:hAnsi="Times New Roman"/>
          <w:sz w:val="24"/>
          <w:szCs w:val="24"/>
        </w:rPr>
        <w:t xml:space="preserve">This scenario illustrates the size of the single-Poisson error under stated assumptions. It is not evidence for the typed model. The class means are not those of any real organisation, the comparator is a single Poisson (a negative-binomial plan on the total would close part of the gap), and a serving outage would plausibly raise hallucination and ticket volumes at the same time, which would widen it.</w:t>
      </w:r>
    </w:p>
    <w:p>
      <w:pPr>
        <w:pStyle w:val="Heading1"/>
        <w:keepNext/>
        <w:spacing w:after="120" w:before="360" w:line="360"/>
      </w:pPr>
      <w:r>
        <w:rPr>
          <w:rFonts w:ascii="Times New Roman" w:cs="Times New Roman" w:eastAsia="Times New Roman" w:hAnsi="Times New Roman"/>
          <w:b/>
          <w:bCs/>
          <w:color w:val="000000"/>
          <w:sz w:val="24"/>
          <w:szCs w:val="24"/>
        </w:rPr>
        <w:t xml:space="preserve">6. Discussion</w:t>
      </w:r>
    </w:p>
    <w:p>
      <w:pPr>
        <w:pStyle w:val="Heading2"/>
        <w:keepNext/>
        <w:spacing w:after="60" w:before="240" w:line="360"/>
      </w:pPr>
      <w:r>
        <w:rPr>
          <w:rFonts w:ascii="Times New Roman" w:cs="Times New Roman" w:eastAsia="Times New Roman" w:hAnsi="Times New Roman"/>
          <w:b/>
          <w:bCs/>
          <w:i/>
          <w:iCs/>
          <w:color w:val="000000"/>
          <w:sz w:val="24"/>
          <w:szCs w:val="24"/>
        </w:rPr>
        <w:t xml:space="preserve">6.1 Contributions to research</w:t>
      </w:r>
    </w:p>
    <w:p>
      <w:pPr>
        <w:spacing w:after="0" w:line="480"/>
        <w:ind w:firstLine="720"/>
        <w:jc w:val="left"/>
      </w:pPr>
      <w:r>
        <w:rPr>
          <w:rFonts w:ascii="Times New Roman" w:cs="Times New Roman" w:eastAsia="Times New Roman" w:hAnsi="Times New Roman"/>
          <w:sz w:val="24"/>
          <w:szCs w:val="24"/>
        </w:rPr>
        <w:t xml:space="preserve">The paper offers an operations view of generative AI that complements the governance and adoption perspectives common in IS research (Berente et al. 2021; Raisch and Krakowski 2021). If a human reserve backs every guardrailed LLM service, the quantity that links a detector's accuracy to an organisation's cost is the quantile of a daily incident count. Expressing both in one unit, capacity or dollars per day, lets detectors, service levels and standing on-call arrangements be compared on a common scale, and it makes the human side of human-AI collaboration something that can be dimensioned and not only described.</w:t>
      </w:r>
    </w:p>
    <w:p>
      <w:pPr>
        <w:spacing w:after="0" w:line="480"/>
        <w:ind w:firstLine="720"/>
        <w:jc w:val="left"/>
      </w:pPr>
      <w:r>
        <w:rPr>
          <w:rFonts w:ascii="Times New Roman" w:cs="Times New Roman" w:eastAsia="Times New Roman" w:hAnsi="Times New Roman"/>
          <w:sz w:val="24"/>
          <w:szCs w:val="24"/>
        </w:rPr>
        <w:t xml:space="preserve">Three modelling results travel beyond our data. Over-dispersion inflates required capacity in a way that a normal approximation with the dispersion index understates when the day-to-day variation has a fixed coefficient of variation (Proposition 2), and the inflation is largest precisely where capacity is largest, because independent thinning by guardrails leaves the coefficient of variation unchanged and shrinks the dispersion index (Proposition 3). The multiplicative guardrail formula is the independence special case of dependence bounds and, under positive association, a lower bound on residual risk (Proposition 4), so that the dependence between layers has to be measured before a stack is credited with its nominal effectiveness. And because capacity is integer-valued and standing staff has a floor, cost is not unimodal in the number of layers, so no fixed depth follows from the cost model (Proposition 5). The typed treatment of failure classes (Proposition 6) adds a modelling discipline: hallucinations, provider incidents, serving failures and human service each violate the Poisson assumptions in a different way, and combining them as one Poisson stream misdescribes all of them.</w:t>
      </w:r>
    </w:p>
    <w:p>
      <w:pPr>
        <w:spacing w:after="0" w:line="480"/>
        <w:ind w:firstLine="720"/>
        <w:jc w:val="left"/>
      </w:pPr>
      <w:r>
        <w:rPr>
          <w:rFonts w:ascii="Times New Roman" w:cs="Times New Roman" w:eastAsia="Times New Roman" w:hAnsi="Times New Roman"/>
          <w:sz w:val="24"/>
          <w:szCs w:val="24"/>
        </w:rPr>
        <w:t xml:space="preserve">As design science, the study evaluates an artifact against measured behaviour and not only against a stylised model, and it reports where the artifact does not deliver. The two negative results are informative in this respect. An NLI classifier that looked effective at reducing capacity was in fact blocking nearly everything, and a routed LLM judge whose benefit seemed clear when slow verdicts were credited lost it under a realistic fail-open timeout. Both illustrate why capacity savings should always be reported together with false-block rates and latency.</w:t>
      </w:r>
    </w:p>
    <w:p>
      <w:pPr>
        <w:pStyle w:val="Heading2"/>
        <w:keepNext/>
        <w:spacing w:after="60" w:before="240" w:line="360"/>
      </w:pPr>
      <w:r>
        <w:rPr>
          <w:rFonts w:ascii="Times New Roman" w:cs="Times New Roman" w:eastAsia="Times New Roman" w:hAnsi="Times New Roman"/>
          <w:b/>
          <w:bCs/>
          <w:i/>
          <w:iCs/>
          <w:color w:val="000000"/>
          <w:sz w:val="24"/>
          <w:szCs w:val="24"/>
        </w:rPr>
        <w:t xml:space="preserve">6.2 Implications for practice</w:t>
      </w:r>
    </w:p>
    <w:p>
      <w:pPr>
        <w:spacing w:after="0" w:line="480"/>
        <w:ind w:firstLine="720"/>
        <w:jc w:val="left"/>
      </w:pPr>
      <w:r>
        <w:rPr>
          <w:rFonts w:ascii="Times New Roman" w:cs="Times New Roman" w:eastAsia="Times New Roman" w:hAnsi="Times New Roman"/>
          <w:sz w:val="24"/>
          <w:szCs w:val="24"/>
        </w:rPr>
        <w:t xml:space="preserve">Operators should size standby capacity from a quantile of the daily count and should fit the dispersion first. Provisioning at the mean load was exceeded on 28 to 49% of days across the configurations we replayed. The Poisson quantile fixes this when counts are Poisson, but a modest day-to-day variation in demand (a coefficient of variation of 0.3 to 0.44) raised the exceedance rate of a Poisson-sized plan from 5% to 23 to 28% and 30 to 32% without guardrails, which follows from the injected multiplier and confirms the proposition on measured outcomes. Real LLM request streams vary far more than that, as the BurstGPT stress test shows. Over-dispersion matters most for large incident streams and least for small ones: provider outages at about 0.8 per day and dated hallucination cases at about six per weekday were statistically over-dispersed yet changed the 95% capacity by at most one unit, whereas the ServiceNow segment (about 350 tickets per work day, with the Poisson plan exceeded on 20% of work days even after excluding holidays and bridge days) and an unprotected hallucination stream of more than 100 events per day were affected strongly.</w:t>
      </w:r>
    </w:p>
    <w:p>
      <w:pPr>
        <w:spacing w:after="0" w:line="480"/>
        <w:ind w:firstLine="720"/>
        <w:jc w:val="left"/>
      </w:pPr>
      <w:r>
        <w:rPr>
          <w:rFonts w:ascii="Times New Roman" w:cs="Times New Roman" w:eastAsia="Times New Roman" w:hAnsi="Times New Roman"/>
          <w:sz w:val="24"/>
          <w:szCs w:val="24"/>
        </w:rPr>
        <w:t xml:space="preserve">The value of a guardrail is an empirical, per-deployment quantity. In our data one task-specific verifier delivered most of the benefit, with a 78 to 95% reduction in required capacity at the price of 15 to 71% of correct answers blocked. The deterministic layer was nearly inert, and the routed judge's gain was small (k∗ reduced by 2, 0, 0 units) and indistinguishable from zero in cost terms (paired intervals for the daily saving $429 [-$5, $931]; -$2 [-$5, $0]; $61 [-$9, $646]), at about three times the latency. A fixed "three layers" prescription is not supported; the method selects the stack from measurements. Routing is a first-order design choice in its own right. Sending only low-agreement answers to the expensive judge cuts judge calls by roughly an order of magnitude, but the share of hallucinations passing the L2+L3 cascade was 1.9 to 2.3 times the independence prediction with routing against 1.3 to 1.6 times without it.</w:t>
      </w:r>
    </w:p>
    <w:p>
      <w:pPr>
        <w:spacing w:after="0" w:line="480"/>
        <w:ind w:firstLine="720"/>
        <w:jc w:val="left"/>
      </w:pPr>
      <w:r>
        <w:rPr>
          <w:rFonts w:ascii="Times New Roman" w:cs="Times New Roman" w:eastAsia="Times New Roman" w:hAnsi="Times New Roman"/>
          <w:sz w:val="24"/>
          <w:szCs w:val="24"/>
        </w:rPr>
        <w:t xml:space="preserve">Failure classes should be modelled separately and combined at the ticket level. In our illustrative organisation a typed superposition required 14 to 48% more daily capacity than a single Poisson on the total across nine scenarios. The size of the gap is driven by the assumed over-dispersion of the hallucination class and by how strongly over-dispersed the serving class is taken to be, so the example shows how large the single-Poisson error can be under stated assumptions and is not a validated gain. Finally, human triage is bursty and heavy-tailed in real organisations. In public ticket streams the day-to-day coefficient of variation of the arrival rate was 0.10 to 0.38 net of trend after excluding holiday and low-volume days (0.25 to 0.41 with all days), and resolution times had coefficients of variation of 1.3 to 3.0 with decreasing hazards. In the one stream with handling-time data the 95th percentile of the daily workload was 3.2 times its mean, against 1.9 for the arrival count. Capacity in arrivals is therefore not capacity in hours, and the service-time tail needs its own headroom.</w:t>
      </w:r>
    </w:p>
    <w:p>
      <w:pPr>
        <w:pStyle w:val="Heading2"/>
        <w:keepNext/>
        <w:spacing w:after="60" w:before="240" w:line="360"/>
      </w:pPr>
      <w:r>
        <w:rPr>
          <w:rFonts w:ascii="Times New Roman" w:cs="Times New Roman" w:eastAsia="Times New Roman" w:hAnsi="Times New Roman"/>
          <w:b/>
          <w:bCs/>
          <w:i/>
          <w:iCs/>
          <w:color w:val="000000"/>
          <w:sz w:val="24"/>
          <w:szCs w:val="24"/>
        </w:rPr>
        <w:t xml:space="preserve">6.3 Limitations and future research</w:t>
      </w:r>
    </w:p>
    <w:p>
      <w:pPr>
        <w:spacing w:after="0" w:line="480"/>
        <w:ind w:firstLine="720"/>
        <w:jc w:val="left"/>
      </w:pPr>
      <w:r>
        <w:rPr>
          <w:rFonts w:ascii="Times New Roman" w:cs="Times New Roman" w:eastAsia="Times New Roman" w:hAnsi="Times New Roman"/>
          <w:sz w:val="24"/>
          <w:szCs w:val="24"/>
        </w:rPr>
        <w:t xml:space="preserve">The most important limitation is that arrivals are simulated and that no operator log of hallucinations is public. Outcomes are measured on real model outputs, but arrival times are generated and each arrival replays a bootstrapped example, so the Poisson and time-rescaling checks of Section 5.3 verify the machinery and are partly true by construction. The public traces we use are real production data, but they record requests, service incidents and human tickets, not hallucinations. The one dated hallucination log we found, a database of court decisions, is domain-specific, has day resolution and carries strong detection and reporting bias. The burstiness of the replay is therefore a scenario informed by real streams and not estimated from them. Validation on proprietary incident logs, even a few months of daily counts of hallucination-related tickets, is the most valuable follow-up. A closely related assumption is that every hallucination passing the guardrails is detected and becomes one human-handled event. In practice only a fraction is noticed or reported, so the capacities we report are upper bounds that hold under full detection (Section 3.1), and the detection process deserves a model of its own.</w:t>
      </w:r>
    </w:p>
    <w:p>
      <w:pPr>
        <w:spacing w:after="0" w:line="480"/>
        <w:ind w:firstLine="720"/>
        <w:jc w:val="left"/>
      </w:pPr>
      <w:r>
        <w:rPr>
          <w:rFonts w:ascii="Times New Roman" w:cs="Times New Roman" w:eastAsia="Times New Roman" w:hAnsi="Times New Roman"/>
          <w:sz w:val="24"/>
          <w:szCs w:val="24"/>
        </w:rPr>
        <w:t xml:space="preserve">The evaluation is small and partly post hoc. The three generators answered the same 300 questions, so their results are paired and not independent replications, and each layer estimate rests on 141 to 195 hallucinations and on a few to a few dozen residual ones. The extractive verifier was introduced after the NLI classifier proved uninformative, so the choice of L2 was made after seeing results on the same data. It is trained on SQuAD, which flatters it, and its threshold was not tuned. The judge is the same 1.5B model in every run, so one arm is self-judged. The analyses should be repeated on a held-out sample with a pre-registered layer configuration. The dependence estimates are imprecise: the association between L2 and L3 and the excess over the independence formula are weak, their bootstrap intervals include zero or one for two of the three generators, and the independence prediction is computed from the same sample's marginals. The judge results also assume that verdicts of calls slower than 2 s are discarded (Section 5.4), and the evaluation uses small open models, 0.4 to 1.5 billion parameters, on one extractive task with CPU latencies. Absolute hallucination rates are far higher than for frontier models, and latencies on GPUs or hosted inference differ. The method transfers; the numbers do not. Ground truth rests on string and token-F1 matching against SQuAD gold answers, which can mark valid paraphrases as hallucinations and inflates the base rate, and the cost parameters and selection weights are assumptions, so only the labour-to-compute ratio and the sensitivity grid are informative.</w:t>
      </w:r>
    </w:p>
    <w:p>
      <w:pPr>
        <w:spacing w:after="0" w:line="480"/>
        <w:ind w:firstLine="720"/>
        <w:jc w:val="left"/>
      </w:pPr>
      <w:r>
        <w:rPr>
          <w:rFonts w:ascii="Times New Roman" w:cs="Times New Roman" w:eastAsia="Times New Roman" w:hAnsi="Times New Roman"/>
          <w:sz w:val="24"/>
          <w:szCs w:val="24"/>
        </w:rPr>
        <w:t xml:space="preserve">The typed models and the public data carry their own caveats. The Hawkes and episode fits use a single kernel family, a fixed seasonal profile estimated from the same data and, for BurstGPT, an episode definition that matters quantitatively and may split a long outage into fragments; bootstrap p-values are bounded below by 1/(B + 1) and the time-rescaling p-values are optimistic. The capacity comparison of Section 5.7 combines classes from different organisations and datasets under independence, with an assumed hallucination dispersion and a single Poisson as comparator, and common-cause dependence between classes would widen the gap. The ticket streams are customer-support and IT incidents and not LLM incidents. Whether hallucination tickets share their arrival variability and service times is an assumption that is plausible for the coefficient of variation of the daily rate, which is invariant to independent thinning with constant p, and less so for service times, which depend on the verification task. Resolution times are calendar times that include waiting for customers or vendors and are not triage effort. Ticket volumes in two of the logs change over their span, the ServiceNow log supports only a 12-week segment, and the arrival-variability estimates rest on three streams. Isolated low-count days such as holidays and bridge days inflate dispersion that a local mean cannot absorb; we report results with and without them, using a volume rule for two streams and holiday calendars for two others, and the outcome-based volume rule is not applied to low-rate streams. The conservatism of the causal negative-binomial plan, which we cannot explain, shows that our variability estimates are not fully understood. BurstGPT has no calendar dates, a 104-day gap, near-duplicate day pairs and order-of-magnitude regime changes in daily volume, so its day-level variability reflects growth and logging as well as chance, and we use it only as a stress test.</w:t>
      </w:r>
    </w:p>
    <w:p>
      <w:pPr>
        <w:spacing w:after="0" w:line="480"/>
        <w:ind w:firstLine="720"/>
        <w:jc w:val="left"/>
      </w:pPr>
      <w:r>
        <w:rPr>
          <w:rFonts w:ascii="Times New Roman" w:cs="Times New Roman" w:eastAsia="Times New Roman" w:hAnsi="Times New Roman"/>
          <w:sz w:val="24"/>
          <w:szCs w:val="24"/>
        </w:rPr>
        <w:t xml:space="preserve">Future work could proceed along three lines. The first is validation on production incident logs from operators, which would allow the counting-process assumptions to be tested directly and the dispersion of hallucination counts to be estimated and not assumed. The second is to model detection and triage explicitly, including the delay between an incident and its handling, so that capacity can be expressed as a function of response-time targets and not only of daily counts. The third is to study how guardrail dependence changes with the generator, the domain and adversarial pressure, since the evidence here concerns one task and three small models.</w:t>
      </w:r>
    </w:p>
    <w:p>
      <w:pPr>
        <w:pStyle w:val="Heading1"/>
        <w:keepNext/>
        <w:spacing w:after="120" w:before="360" w:line="360"/>
      </w:pPr>
      <w:r>
        <w:rPr>
          <w:rFonts w:ascii="Times New Roman" w:cs="Times New Roman" w:eastAsia="Times New Roman" w:hAnsi="Times New Roman"/>
          <w:b/>
          <w:bCs/>
          <w:color w:val="000000"/>
          <w:sz w:val="24"/>
          <w:szCs w:val="24"/>
        </w:rPr>
        <w:t xml:space="preserve">7. Conclusion</w:t>
      </w:r>
    </w:p>
    <w:p>
      <w:pPr>
        <w:spacing w:after="0" w:line="480"/>
        <w:ind w:firstLine="720"/>
        <w:jc w:val="left"/>
      </w:pPr>
      <w:r>
        <w:rPr>
          <w:rFonts w:ascii="Times New Roman" w:cs="Times New Roman" w:eastAsia="Times New Roman" w:hAnsi="Times New Roman"/>
          <w:sz w:val="24"/>
          <w:szCs w:val="24"/>
        </w:rPr>
        <w:t xml:space="preserve">Treating human-handled LLM incidents as a counting process turns guardrail performance into a staffing and cost decision. Under the assumptions stated, capacity should be sized from an over-dispersion-aware quantile of the daily count. The multiplicative guardrail formula is an optimistic bound whose gap has to be measured. A single Poisson on all failures misdescribes every class, because hallucinations are over-dispersed through demand variability, provider incidents are seasonal with a drifting level and weak clustering, and serving failures arrive in heavy-tailed episodes. The cost-minimising number of layers depends on integer capacity effects, the floor on standing staff, latency, the labour-to-compute ratio and the measured clearance, and it is not fixed at three.</w:t>
      </w:r>
    </w:p>
    <w:p>
      <w:pPr>
        <w:spacing w:after="0" w:line="480"/>
        <w:ind w:firstLine="720"/>
        <w:jc w:val="left"/>
      </w:pPr>
      <w:r>
        <w:rPr>
          <w:rFonts w:ascii="Times New Roman" w:cs="Times New Roman" w:eastAsia="Times New Roman" w:hAnsi="Times New Roman"/>
          <w:sz w:val="24"/>
          <w:szCs w:val="24"/>
        </w:rPr>
        <w:t xml:space="preserve">On the measured outputs of three small open models, a single task-specific verifier reduced required capacity by 78 to 95% relative to no guardrails while blocking 15 to 71% of correct answers, and a routed judge did not demonstrably pay for itself under a 2 s fail-open timeout. Mild burstiness raised the exceedance rate of a Poisson-sized plan from 5% to roughly 23 to 32% without guardrails and 7 to 16% with the best cascade. Public production data corroborate the structure of the arrival processes: an LLM request trace shows clustered arrivals from the 10-second scale upward, provider incident streams are strongly seasonal with a drifting level, and company ticket streams show a net-of-trend daily-rate coefficient of variation of 0.10 to 0.38 and heavy-tailed resolution times. Hallucination arrivals themselves are simulated, however, and no operator log is public. Testing the counting-process assumptions on production incident logs is the necessary next step.</w:t>
      </w:r>
    </w:p>
    <w:p>
      <w:r>
        <w:br w:type="page"/>
      </w:r>
    </w:p>
    <w:p>
      <w:pPr>
        <w:pStyle w:val="Heading1"/>
        <w:keepNext/>
        <w:spacing w:after="120" w:before="360" w:line="360"/>
      </w:pPr>
      <w:r>
        <w:rPr>
          <w:rFonts w:ascii="Times New Roman" w:cs="Times New Roman" w:eastAsia="Times New Roman" w:hAnsi="Times New Roman"/>
          <w:b/>
          <w:bCs/>
          <w:color w:val="000000"/>
          <w:sz w:val="24"/>
          <w:szCs w:val="24"/>
        </w:rPr>
        <w:t xml:space="preserve">References</w:t>
      </w:r>
    </w:p>
    <w:p>
      <w:pPr>
        <w:spacing w:after="100" w:line="276"/>
        <w:ind w:left="720" w:hanging="720"/>
      </w:pPr>
      <w:r>
        <w:rPr>
          <w:rFonts w:ascii="Times New Roman" w:cs="Times New Roman" w:eastAsia="Times New Roman" w:hAnsi="Times New Roman"/>
          <w:sz w:val="22"/>
          <w:szCs w:val="22"/>
        </w:rPr>
        <w:t xml:space="preserve">Abdellatif, M. 2026. "Help Desk Tickets (Version 3)," Mendeley Data (https://doi.org/10.17632/btm76zndnt.3).</w:t>
      </w:r>
    </w:p>
    <w:p>
      <w:pPr>
        <w:spacing w:after="100" w:line="276"/>
        <w:ind w:left="720" w:hanging="720"/>
      </w:pPr>
      <w:r>
        <w:rPr>
          <w:rFonts w:ascii="Times New Roman" w:cs="Times New Roman" w:eastAsia="Times New Roman" w:hAnsi="Times New Roman"/>
          <w:sz w:val="22"/>
          <w:szCs w:val="22"/>
        </w:rPr>
        <w:t xml:space="preserve">Abraham, S., Chen, T., Chhun, C., Jaramillo-Gutierrez, G., Mylius, S., Raaj, S., Slattery, P., and McGregor, S. 2026. "AI Incident Monitoring Through a Public Health Lens," arXiv:2604.19914.</w:t>
      </w:r>
    </w:p>
    <w:p>
      <w:pPr>
        <w:spacing w:after="100" w:line="276"/>
        <w:ind w:left="720" w:hanging="720"/>
      </w:pPr>
      <w:r>
        <w:rPr>
          <w:rFonts w:ascii="Times New Roman" w:cs="Times New Roman" w:eastAsia="Times New Roman" w:hAnsi="Times New Roman"/>
          <w:sz w:val="22"/>
          <w:szCs w:val="22"/>
        </w:rPr>
        <w:t xml:space="preserve">Allal, L. B., Lozhkov, A., Bakouch, E., Blázquez, G. M., Penedo, G., Tunstall, L., Marafioti, A., Kydlíček, H., Piqueres Lajarín, A., Srivastav, V., Lochner, J., Fahlgren, C., Nguyen, X.-S., Fourrier, C., Burtenshaw, B., Larcher, H., Zhao, H., Zakka, C., Morlon, M., Raffel, C., von Werra, L., and Wolf, T. 2025. "SmolLM2: When Smol Goes Big—Data-Centric Training of a Small Language Model," arXiv:2502.02737.</w:t>
      </w:r>
    </w:p>
    <w:p>
      <w:pPr>
        <w:spacing w:after="100" w:line="276"/>
        <w:ind w:left="720" w:hanging="720"/>
      </w:pPr>
      <w:r>
        <w:rPr>
          <w:rFonts w:ascii="Times New Roman" w:cs="Times New Roman" w:eastAsia="Times New Roman" w:hAnsi="Times New Roman"/>
          <w:sz w:val="22"/>
          <w:szCs w:val="22"/>
        </w:rPr>
        <w:t xml:space="preserve">Alotaibi, A., Jabbar, M. S., Al-Azani, S., and Ahmed, M. 2026. "Layered LLM Defenses as an Ensemble: Access Tiers, Inference Cost, and the Measured Failure Correlation Between Defense Layers," arXiv:2608.28327.</w:t>
      </w:r>
    </w:p>
    <w:p>
      <w:pPr>
        <w:spacing w:after="100" w:line="276"/>
        <w:ind w:left="720" w:hanging="720"/>
      </w:pPr>
      <w:r>
        <w:rPr>
          <w:rFonts w:ascii="Times New Roman" w:cs="Times New Roman" w:eastAsia="Times New Roman" w:hAnsi="Times New Roman"/>
          <w:sz w:val="22"/>
          <w:szCs w:val="22"/>
        </w:rPr>
        <w:t xml:space="preserve">Amaral, C. A. L., Fantinato, M., and Peres, S. M. 2018. "Incident Management Process Enriched Event Log," UCI Machine Learning Repository (dataset 498).</w:t>
      </w:r>
    </w:p>
    <w:p>
      <w:pPr>
        <w:spacing w:after="100" w:line="276"/>
        <w:ind w:left="720" w:hanging="720"/>
      </w:pPr>
      <w:r>
        <w:rPr>
          <w:rFonts w:ascii="Times New Roman" w:cs="Times New Roman" w:eastAsia="Times New Roman" w:hAnsi="Times New Roman"/>
          <w:sz w:val="22"/>
          <w:szCs w:val="22"/>
        </w:rPr>
        <w:t xml:space="preserve">Bartolucci, S., and Vivo, P. 2026. "Queue &amp; AI: When Faster Tasks Slow Down the Workflow," arXiv:2605.27202.</w:t>
      </w:r>
    </w:p>
    <w:p>
      <w:pPr>
        <w:spacing w:after="100" w:line="276"/>
        <w:ind w:left="720" w:hanging="720"/>
      </w:pPr>
      <w:r>
        <w:rPr>
          <w:rFonts w:ascii="Times New Roman" w:cs="Times New Roman" w:eastAsia="Times New Roman" w:hAnsi="Times New Roman"/>
          <w:sz w:val="22"/>
          <w:szCs w:val="22"/>
        </w:rPr>
        <w:t xml:space="preserve">Berente, N., Gu, B., Recker, J., and Santhanam, R. 2021. "Managing Artificial Intelligence," MIS Quarterly (45:3), pp. 1433-1450.</w:t>
      </w:r>
    </w:p>
    <w:p>
      <w:pPr>
        <w:spacing w:after="100" w:line="276"/>
        <w:ind w:left="720" w:hanging="720"/>
      </w:pPr>
      <w:r>
        <w:rPr>
          <w:rFonts w:ascii="Times New Roman" w:cs="Times New Roman" w:eastAsia="Times New Roman" w:hAnsi="Times New Roman"/>
          <w:sz w:val="22"/>
          <w:szCs w:val="22"/>
        </w:rPr>
        <w:t xml:space="preserve">Besanson, G. 2026. "SARC: A Governance-by-Architecture Framework for Agentic AI Systems," arXiv:2605.07728.</w:t>
      </w:r>
    </w:p>
    <w:p>
      <w:pPr>
        <w:spacing w:after="100" w:line="276"/>
        <w:ind w:left="720" w:hanging="720"/>
      </w:pPr>
      <w:r>
        <w:rPr>
          <w:rFonts w:ascii="Times New Roman" w:cs="Times New Roman" w:eastAsia="Times New Roman" w:hAnsi="Times New Roman"/>
          <w:sz w:val="22"/>
          <w:szCs w:val="22"/>
        </w:rPr>
        <w:t xml:space="preserve">Bhardwaj, V. P., Singh, G., and Bhardwaj, A. P. 2026. "Agent Behavioral Contracts II: Certifying Compositional Reliability Without Assuming Independence," arXiv:2608.12895.</w:t>
      </w:r>
    </w:p>
    <w:p>
      <w:pPr>
        <w:spacing w:after="100" w:line="276"/>
        <w:ind w:left="720" w:hanging="720"/>
      </w:pPr>
      <w:r>
        <w:rPr>
          <w:rFonts w:ascii="Times New Roman" w:cs="Times New Roman" w:eastAsia="Times New Roman" w:hAnsi="Times New Roman"/>
          <w:sz w:val="22"/>
          <w:szCs w:val="22"/>
        </w:rPr>
        <w:t xml:space="preserve">Brown, L., Gans, N., Mandelbaum, A., Sakov, A., Shen, H., Zeltyn, S., and Zhao, L. 2005. "Statistical Analysis of a Telephone Call Center: A Queueing-Science Perspective," Journal of the American Statistical Association (100:469), pp. 36-50.</w:t>
      </w:r>
    </w:p>
    <w:p>
      <w:pPr>
        <w:spacing w:after="100" w:line="276"/>
        <w:ind w:left="720" w:hanging="720"/>
      </w:pPr>
      <w:r>
        <w:rPr>
          <w:rFonts w:ascii="Times New Roman" w:cs="Times New Roman" w:eastAsia="Times New Roman" w:hAnsi="Times New Roman"/>
          <w:sz w:val="22"/>
          <w:szCs w:val="22"/>
        </w:rPr>
        <w:t xml:space="preserve">Cameron, A. C., and Trivedi, P. K. 1998. Regression Analysis of Count Data. Cambridge, UK: Cambridge University Press.</w:t>
      </w:r>
    </w:p>
    <w:p>
      <w:pPr>
        <w:spacing w:after="100" w:line="276"/>
        <w:ind w:left="720" w:hanging="720"/>
      </w:pPr>
      <w:r>
        <w:rPr>
          <w:rFonts w:ascii="Times New Roman" w:cs="Times New Roman" w:eastAsia="Times New Roman" w:hAnsi="Times New Roman"/>
          <w:sz w:val="22"/>
          <w:szCs w:val="22"/>
        </w:rPr>
        <w:t xml:space="preserve">Charlotin, D. 2026. "AI Hallucination Cases Database" (https://www.damiencharlotin.com/hallucinations/; CC BY 4.0; accessed October 6, 2026).</w:t>
      </w:r>
    </w:p>
    <w:p>
      <w:pPr>
        <w:spacing w:after="100" w:line="276"/>
        <w:ind w:left="720" w:hanging="720"/>
      </w:pPr>
      <w:r>
        <w:rPr>
          <w:rFonts w:ascii="Times New Roman" w:cs="Times New Roman" w:eastAsia="Times New Roman" w:hAnsi="Times New Roman"/>
          <w:sz w:val="22"/>
          <w:szCs w:val="22"/>
        </w:rPr>
        <w:t xml:space="preserve">Chu, X., Talluri, S., Lu, Q., and Iosup, A. 2025. "An Empirical Characterization of Outages and Incidents in Public Services for Large Language Models," in Proceedings of ICPE 2025 (arXiv:2501.12469).</w:t>
      </w:r>
    </w:p>
    <w:p>
      <w:pPr>
        <w:spacing w:after="100" w:line="276"/>
        <w:ind w:left="720" w:hanging="720"/>
      </w:pPr>
      <w:r>
        <w:rPr>
          <w:rFonts w:ascii="Times New Roman" w:cs="Times New Roman" w:eastAsia="Times New Roman" w:hAnsi="Times New Roman"/>
          <w:sz w:val="22"/>
          <w:szCs w:val="22"/>
        </w:rPr>
        <w:t xml:space="preserve">Cox, D. R. 1955. "Some Statistical Methods Connected with Series of Events," Journal of the Royal Statistical Society, Series B (17:2), pp. 129-164.</w:t>
      </w:r>
    </w:p>
    <w:p>
      <w:pPr>
        <w:spacing w:after="100" w:line="276"/>
        <w:ind w:left="720" w:hanging="720"/>
      </w:pPr>
      <w:r>
        <w:rPr>
          <w:rFonts w:ascii="Times New Roman" w:cs="Times New Roman" w:eastAsia="Times New Roman" w:hAnsi="Times New Roman"/>
          <w:sz w:val="22"/>
          <w:szCs w:val="22"/>
        </w:rPr>
        <w:t xml:space="preserve">Cox, D. R., and Isham, V. 1980. Point Processes. London: Chapman &amp; Hall.</w:t>
      </w:r>
    </w:p>
    <w:p>
      <w:pPr>
        <w:spacing w:after="100" w:line="276"/>
        <w:ind w:left="720" w:hanging="720"/>
      </w:pPr>
      <w:r>
        <w:rPr>
          <w:rFonts w:ascii="Times New Roman" w:cs="Times New Roman" w:eastAsia="Times New Roman" w:hAnsi="Times New Roman"/>
          <w:sz w:val="22"/>
          <w:szCs w:val="22"/>
        </w:rPr>
        <w:t xml:space="preserve">Daley, D. J., and Vere-Jones, D. 2003. An Introduction to the Theory of Point Processes, Volume I (2nd ed.). New York: Springer.</w:t>
      </w:r>
    </w:p>
    <w:p>
      <w:pPr>
        <w:spacing w:after="100" w:line="276"/>
        <w:ind w:left="720" w:hanging="720"/>
      </w:pPr>
      <w:r>
        <w:rPr>
          <w:rFonts w:ascii="Times New Roman" w:cs="Times New Roman" w:eastAsia="Times New Roman" w:hAnsi="Times New Roman"/>
          <w:sz w:val="22"/>
          <w:szCs w:val="22"/>
        </w:rPr>
        <w:t xml:space="preserve">Esary, J. D., Proschan, F., and Walkup, D. W. 1967. "Association of Random Variables, with Applications," Annals of Mathematical Statistics (38:5), pp. 1466-1474.</w:t>
      </w:r>
    </w:p>
    <w:p>
      <w:pPr>
        <w:spacing w:after="100" w:line="276"/>
        <w:ind w:left="720" w:hanging="720"/>
      </w:pPr>
      <w:r>
        <w:rPr>
          <w:rFonts w:ascii="Times New Roman" w:cs="Times New Roman" w:eastAsia="Times New Roman" w:hAnsi="Times New Roman"/>
          <w:sz w:val="22"/>
          <w:szCs w:val="22"/>
        </w:rPr>
        <w:t xml:space="preserve">Green, L. V., Kolesar, P. J., and Whitt, W. 2007. "Coping with Time-Varying Demand When Setting Staffing Requirements for a Service System," Production and Operations Management (16:1), pp. 13-39.</w:t>
      </w:r>
    </w:p>
    <w:p>
      <w:pPr>
        <w:spacing w:after="100" w:line="276"/>
        <w:ind w:left="720" w:hanging="720"/>
      </w:pPr>
      <w:r>
        <w:rPr>
          <w:rFonts w:ascii="Times New Roman" w:cs="Times New Roman" w:eastAsia="Times New Roman" w:hAnsi="Times New Roman"/>
          <w:sz w:val="22"/>
          <w:szCs w:val="22"/>
        </w:rPr>
        <w:t xml:space="preserve">Gregor, S., and Hevner, A. R. 2013. "Positioning and Presenting Design Science Research for Maximum Impact," MIS Quarterly (37:2), pp. 337-355.</w:t>
      </w:r>
    </w:p>
    <w:p>
      <w:pPr>
        <w:spacing w:after="100" w:line="276"/>
        <w:ind w:left="720" w:hanging="720"/>
      </w:pPr>
      <w:r>
        <w:rPr>
          <w:rFonts w:ascii="Times New Roman" w:cs="Times New Roman" w:eastAsia="Times New Roman" w:hAnsi="Times New Roman"/>
          <w:sz w:val="22"/>
          <w:szCs w:val="22"/>
        </w:rPr>
        <w:t xml:space="preserve">Hawkes, A. G. 1971. "Spectra of Some Self-Exciting and Mutually Exciting Point Processes," Biometrika (58:1), pp. 83-90.</w:t>
      </w:r>
    </w:p>
    <w:p>
      <w:pPr>
        <w:spacing w:after="100" w:line="276"/>
        <w:ind w:left="720" w:hanging="720"/>
      </w:pPr>
      <w:r>
        <w:rPr>
          <w:rFonts w:ascii="Times New Roman" w:cs="Times New Roman" w:eastAsia="Times New Roman" w:hAnsi="Times New Roman"/>
          <w:sz w:val="22"/>
          <w:szCs w:val="22"/>
        </w:rPr>
        <w:t xml:space="preserve">He, P., Gao, J., and Chen, W. 2021. "DeBERTaV3: Improving DeBERTa Using ELECTRA-Style Pre-Training with Gradient-Disentangled Embedding Sharing," arXiv:2111.09543.</w:t>
      </w:r>
    </w:p>
    <w:p>
      <w:pPr>
        <w:spacing w:after="100" w:line="276"/>
        <w:ind w:left="720" w:hanging="720"/>
      </w:pPr>
      <w:r>
        <w:rPr>
          <w:rFonts w:ascii="Times New Roman" w:cs="Times New Roman" w:eastAsia="Times New Roman" w:hAnsi="Times New Roman"/>
          <w:sz w:val="22"/>
          <w:szCs w:val="22"/>
        </w:rPr>
        <w:t xml:space="preserve">Hevner, A. R., March, S. T., Park, J., and Ram, S. 2004. "Design Science in Information Systems Research," MIS Quarterly (28:1), pp. 75-105.</w:t>
      </w:r>
    </w:p>
    <w:p>
      <w:pPr>
        <w:spacing w:after="100" w:line="276"/>
        <w:ind w:left="720" w:hanging="720"/>
      </w:pPr>
      <w:r>
        <w:rPr>
          <w:rFonts w:ascii="Times New Roman" w:cs="Times New Roman" w:eastAsia="Times New Roman" w:hAnsi="Times New Roman"/>
          <w:sz w:val="22"/>
          <w:szCs w:val="22"/>
        </w:rPr>
        <w:t xml:space="preserve">Inan, H., Upasani, K., Chi, J., Rungta, R., Iyer, K., Mao, Y., Tontchev, M., Hu, Q., Fuller, B., Testuggine, D., and Khabsa, M. 2023. "Llama Guard: LLM-Based Input-Output Safeguard for Human-AI Conversations," arXiv:2312.06674.</w:t>
      </w:r>
    </w:p>
    <w:p>
      <w:pPr>
        <w:spacing w:after="100" w:line="276"/>
        <w:ind w:left="720" w:hanging="720"/>
      </w:pPr>
      <w:r>
        <w:rPr>
          <w:rFonts w:ascii="Times New Roman" w:cs="Times New Roman" w:eastAsia="Times New Roman" w:hAnsi="Times New Roman"/>
          <w:sz w:val="22"/>
          <w:szCs w:val="22"/>
        </w:rPr>
        <w:t xml:space="preserve">Ji, Z., Lee, N., Frieske, R., Yu, T., Su, D., Xu, Y., Ishii, E., Bang, Y. J., Chen, D., Dai, W., Chan, H. S., Madotto, A., and Fung, P. 2023. "Survey of Hallucination in Natural Language Generation," ACM Computing Surveys (55:12), Article 248.</w:t>
      </w:r>
    </w:p>
    <w:p>
      <w:pPr>
        <w:spacing w:after="100" w:line="276"/>
        <w:ind w:left="720" w:hanging="720"/>
      </w:pPr>
      <w:r>
        <w:rPr>
          <w:rFonts w:ascii="Times New Roman" w:cs="Times New Roman" w:eastAsia="Times New Roman" w:hAnsi="Times New Roman"/>
          <w:sz w:val="22"/>
          <w:szCs w:val="22"/>
        </w:rPr>
        <w:t xml:space="preserve">Kingman, J. F. C. 1993. Poisson Processes. Oxford, UK: Oxford University Press.</w:t>
      </w:r>
    </w:p>
    <w:p>
      <w:pPr>
        <w:spacing w:after="100" w:line="276"/>
        <w:ind w:left="720" w:hanging="720"/>
      </w:pPr>
      <w:r>
        <w:rPr>
          <w:rFonts w:ascii="Times New Roman" w:cs="Times New Roman" w:eastAsia="Times New Roman" w:hAnsi="Times New Roman"/>
          <w:sz w:val="22"/>
          <w:szCs w:val="22"/>
        </w:rPr>
        <w:t xml:space="preserve">Lewis, P., Perez, E., Piktus, A., Petroni, F., Karpukhin, V., Goyal, N., Küttler, H., Lewis, M., Yih, W.-t., Rocktäschel, T., Riedel, S., and Kiela, D. 2020. "Retrieval-Augmented Generation for Knowledge-Intensive NLP Tasks," Advances in Neural Information Processing Systems (33).</w:t>
      </w:r>
    </w:p>
    <w:p>
      <w:pPr>
        <w:spacing w:after="100" w:line="276"/>
        <w:ind w:left="720" w:hanging="720"/>
      </w:pPr>
      <w:r>
        <w:rPr>
          <w:rFonts w:ascii="Times New Roman" w:cs="Times New Roman" w:eastAsia="Times New Roman" w:hAnsi="Times New Roman"/>
          <w:sz w:val="22"/>
          <w:szCs w:val="22"/>
        </w:rPr>
        <w:t xml:space="preserve">Lin, R., and Zhang, J. 2026. "When to Screen, When to Bypass: LLM-Judges in Resource-Scarce AI-Human Workflow," arXiv:2603.13870.</w:t>
      </w:r>
    </w:p>
    <w:p>
      <w:pPr>
        <w:spacing w:after="100" w:line="276"/>
        <w:ind w:left="720" w:hanging="720"/>
      </w:pPr>
      <w:r>
        <w:rPr>
          <w:rFonts w:ascii="Times New Roman" w:cs="Times New Roman" w:eastAsia="Times New Roman" w:hAnsi="Times New Roman"/>
          <w:sz w:val="22"/>
          <w:szCs w:val="22"/>
        </w:rPr>
        <w:t xml:space="preserve">Manakul, P., Liusie, A., and Gales, M. J. F. 2023. "SelfCheckGPT: Zero-Resource Black-Box Hallucination Detection for Generative Large Language Models," in Proceedings of EMNLP 2023.</w:t>
      </w:r>
    </w:p>
    <w:p>
      <w:pPr>
        <w:spacing w:after="100" w:line="276"/>
        <w:ind w:left="720" w:hanging="720"/>
      </w:pPr>
      <w:r>
        <w:rPr>
          <w:rFonts w:ascii="Times New Roman" w:cs="Times New Roman" w:eastAsia="Times New Roman" w:hAnsi="Times New Roman"/>
          <w:sz w:val="22"/>
          <w:szCs w:val="22"/>
        </w:rPr>
        <w:t xml:space="preserve">Ogata, Y. 1988. "Statistical Models for Earthquake Occurrences and Residual Analysis for Point Processes," Journal of the American Statistical Association (83:401), pp. 9-27.</w:t>
      </w:r>
    </w:p>
    <w:p>
      <w:pPr>
        <w:spacing w:after="100" w:line="276"/>
        <w:ind w:left="720" w:hanging="720"/>
      </w:pPr>
      <w:r>
        <w:rPr>
          <w:rFonts w:ascii="Times New Roman" w:cs="Times New Roman" w:eastAsia="Times New Roman" w:hAnsi="Times New Roman"/>
          <w:sz w:val="22"/>
          <w:szCs w:val="22"/>
        </w:rPr>
        <w:t xml:space="preserve">Qwen Team. 2024. "Qwen2.5 Technical Report," arXiv:2412.15115.</w:t>
      </w:r>
    </w:p>
    <w:p>
      <w:pPr>
        <w:spacing w:after="100" w:line="276"/>
        <w:ind w:left="720" w:hanging="720"/>
      </w:pPr>
      <w:r>
        <w:rPr>
          <w:rFonts w:ascii="Times New Roman" w:cs="Times New Roman" w:eastAsia="Times New Roman" w:hAnsi="Times New Roman"/>
          <w:sz w:val="22"/>
          <w:szCs w:val="22"/>
        </w:rPr>
        <w:t xml:space="preserve">Raisch, S., and Krakowski, S. 2021. "Artificial Intelligence and Management: The Automation-Augmentation Paradox," Academy of Management Review (46:1), pp. 192-210.</w:t>
      </w:r>
    </w:p>
    <w:p>
      <w:pPr>
        <w:spacing w:after="100" w:line="276"/>
        <w:ind w:left="720" w:hanging="720"/>
      </w:pPr>
      <w:r>
        <w:rPr>
          <w:rFonts w:ascii="Times New Roman" w:cs="Times New Roman" w:eastAsia="Times New Roman" w:hAnsi="Times New Roman"/>
          <w:sz w:val="22"/>
          <w:szCs w:val="22"/>
        </w:rPr>
        <w:t xml:space="preserve">Rajpurkar, P., Jia, R., and Liang, P. 2018. "Know What You Don't Know: Unanswerable Questions for SQuAD," in Proceedings of ACL 2018, pp. 784-789.</w:t>
      </w:r>
    </w:p>
    <w:p>
      <w:pPr>
        <w:spacing w:after="100" w:line="276"/>
        <w:ind w:left="720" w:hanging="720"/>
      </w:pPr>
      <w:r>
        <w:rPr>
          <w:rFonts w:ascii="Times New Roman" w:cs="Times New Roman" w:eastAsia="Times New Roman" w:hAnsi="Times New Roman"/>
          <w:sz w:val="22"/>
          <w:szCs w:val="22"/>
        </w:rPr>
        <w:t xml:space="preserve">Topkis, D. M. 1978. "Minimizing a Submodular Function on a Lattice," Operations Research (26:2), pp. 305-321.</w:t>
      </w:r>
    </w:p>
    <w:p>
      <w:pPr>
        <w:spacing w:after="100" w:line="276"/>
        <w:ind w:left="720" w:hanging="720"/>
      </w:pPr>
      <w:r>
        <w:rPr>
          <w:rFonts w:ascii="Times New Roman" w:cs="Times New Roman" w:eastAsia="Times New Roman" w:hAnsi="Times New Roman"/>
          <w:sz w:val="22"/>
          <w:szCs w:val="22"/>
        </w:rPr>
        <w:t xml:space="preserve">Tran-Truong, P. T., and Le, X.-B. 2026. "Measuring the Unmeasurable: Markov Chain Reliability for LLM Agents," arXiv:2604.24579.</w:t>
      </w:r>
    </w:p>
    <w:p>
      <w:pPr>
        <w:spacing w:after="100" w:line="276"/>
        <w:ind w:left="720" w:hanging="720"/>
      </w:pPr>
      <w:r>
        <w:rPr>
          <w:rFonts w:ascii="Times New Roman" w:cs="Times New Roman" w:eastAsia="Times New Roman" w:hAnsi="Times New Roman"/>
          <w:sz w:val="22"/>
          <w:szCs w:val="22"/>
        </w:rPr>
        <w:t xml:space="preserve">Verenich, I. 2016. "Helpdesk" (help desk log of an Italian software company), Mendeley Data, V1 (https://doi.org/10.17632/39bp3vv62t.1).</w:t>
      </w:r>
    </w:p>
    <w:p>
      <w:pPr>
        <w:spacing w:after="100" w:line="276"/>
        <w:ind w:left="720" w:hanging="720"/>
      </w:pPr>
      <w:r>
        <w:rPr>
          <w:rFonts w:ascii="Times New Roman" w:cs="Times New Roman" w:eastAsia="Times New Roman" w:hAnsi="Times New Roman"/>
          <w:sz w:val="22"/>
          <w:szCs w:val="22"/>
        </w:rPr>
        <w:t xml:space="preserve">Wang, Y., Chen, Y., Li, Z., Kang, X., Fang, Y., Zhou, Y., Zheng, Y., Tang, Z., He, X., Guo, R., Wang, X., Wang, Q., Zhou, A. C., and Chu, X. 2025. "BurstGPT: A Real-World Workload Dataset to Optimize LLM Serving Systems," in Proceedings of KDD 2025 (arXiv:2401.17644).</w:t>
      </w:r>
    </w:p>
    <w:p>
      <w:pPr>
        <w:spacing w:after="100" w:line="276"/>
        <w:ind w:left="720" w:hanging="720"/>
      </w:pPr>
      <w:r>
        <w:rPr>
          <w:rFonts w:ascii="Times New Roman" w:cs="Times New Roman" w:eastAsia="Times New Roman" w:hAnsi="Times New Roman"/>
          <w:sz w:val="22"/>
          <w:szCs w:val="22"/>
        </w:rPr>
        <w:t xml:space="preserve">Whitt, W. 2007. "What You Should Know About Queueing Models to Set Staffing Requirements in Service Systems," Naval Research Logistics (54:5), pp. 476-484.</w:t>
      </w:r>
    </w:p>
    <w:p>
      <w:pPr>
        <w:spacing w:after="100" w:line="276"/>
        <w:ind w:left="720" w:hanging="720"/>
      </w:pPr>
      <w:r>
        <w:rPr>
          <w:rFonts w:ascii="Times New Roman" w:cs="Times New Roman" w:eastAsia="Times New Roman" w:hAnsi="Times New Roman"/>
          <w:sz w:val="22"/>
          <w:szCs w:val="22"/>
        </w:rPr>
        <w:t xml:space="preserve">Zheng, L., Chiang, W.-L., Sheng, Y., Zhuang, S., Wu, Z., Zhuang, Y., Lin, Z., Li, Z., Li, D., Xing, E. P., Zhang, H., Gonzalez, J. E., and Stoica, I. 2023. "Judging LLM-as-a-Judge with MT-Bench and Chatbot Arena," Advances in Neural Information Processing Systems (36).</w:t>
      </w:r>
    </w:p>
    <w:p>
      <w:r>
        <w:br w:type="page"/>
      </w:r>
    </w:p>
    <w:p>
      <w:pPr>
        <w:pStyle w:val="Heading1"/>
        <w:keepNext/>
        <w:spacing w:after="120" w:before="360" w:line="360"/>
      </w:pPr>
      <w:r>
        <w:rPr>
          <w:rFonts w:ascii="Times New Roman" w:cs="Times New Roman" w:eastAsia="Times New Roman" w:hAnsi="Times New Roman"/>
          <w:b/>
          <w:bCs/>
          <w:color w:val="000000"/>
          <w:sz w:val="24"/>
          <w:szCs w:val="24"/>
        </w:rPr>
        <w:t xml:space="preserve">Appendix A. Proofs</w:t>
      </w:r>
    </w:p>
    <w:p>
      <w:pPr>
        <w:spacing w:after="0" w:line="480"/>
        <w:ind w:firstLine="0"/>
        <w:jc w:val="left"/>
      </w:pPr>
      <w:r>
        <w:rPr>
          <w:rFonts w:ascii="Times New Roman" w:cs="Times New Roman" w:eastAsia="Times New Roman" w:hAnsi="Times New Roman"/>
          <w:b/>
          <w:bCs/>
          <w:sz w:val="24"/>
          <w:szCs w:val="24"/>
        </w:rPr>
        <w:t xml:space="preserve">Proof of Proposition 1.</w:t>
      </w:r>
      <w:r>
        <w:rPr>
          <w:rFonts w:ascii="Times New Roman" w:cs="Times New Roman" w:eastAsia="Times New Roman" w:hAnsi="Times New Roman"/>
          <w:sz w:val="24"/>
          <w:szCs w:val="24"/>
        </w:rPr>
        <w:t xml:space="preserve"> (a) The Poisson(λ) distribution is stochastically increasing in λ, so P(X ≤ k) is non-increasing in λ and the smallest k that reaches α cannot fall as λ rises. (b) k∗ = 0 exactly when P(X = 0) = e^{−λ} ≥ α, that is, when λ ≤ −ln α. (c) For λ in [n, n + 1) with n ≥ 1, P(X &gt; n) increases in λ, so its minimum on that interval is P(Poisson(n) &gt; n). The sequence P(Poisson(n) &gt; n) increases in n towards 1/2, and its first term is P(Poisson(1) &gt; 1) = 1 − 2e⁻¹ = 0.264. At λ = 3 it equals 1 − P(X ≤ 3) = 0.353. (d) is the Cornish-Fisher expansion of the Poisson quantile. ∎</w:t>
      </w:r>
    </w:p>
    <w:p>
      <w:pPr>
        <w:spacing w:after="0" w:line="480"/>
        <w:ind w:firstLine="0"/>
        <w:jc w:val="left"/>
      </w:pPr>
      <w:r>
        <w:rPr>
          <w:rFonts w:ascii="Times New Roman" w:cs="Times New Roman" w:eastAsia="Times New Roman" w:hAnsi="Times New Roman"/>
          <w:b/>
          <w:bCs/>
          <w:sz w:val="24"/>
          <w:szCs w:val="24"/>
        </w:rPr>
        <w:t xml:space="preserve">Proof of Proposition 2.</w:t>
      </w:r>
      <w:r>
        <w:rPr>
          <w:rFonts w:ascii="Times New Roman" w:cs="Times New Roman" w:eastAsia="Times New Roman" w:hAnsi="Times New Roman"/>
          <w:sz w:val="24"/>
          <w:szCs w:val="24"/>
        </w:rPr>
        <w:t xml:space="preserve"> (a) is the law of total variance: Var(X_d) = E[λM] + Var(λM) = λ + λ²c². (b) For Poisson Y_λ, ∂E[(Y_λ − k)⁺]/∂λ = P(Y_λ ≥ k), which is non-decreasing in λ, so λ ↦ E[(Y_λ − k)⁺] is convex. Jensen's inequality applied to the mixing variable gives E[(X_d − k)⁺] = E[g(λM)] ≥ g(λ), where g(λ) = E[(Y_λ − k)⁺]. (c) If φ is bounded, the count is asymptotically normal with variance λφ. For fixed c, X_d/λ converges in distribution to M as λ grows, so the α-quantile of X_d is asymptotically λF_M⁻¹(α), and the normal approximation fails by an amount linear in λ. ∎</w:t>
      </w:r>
    </w:p>
    <w:p>
      <w:pPr>
        <w:spacing w:after="0" w:line="480"/>
        <w:ind w:firstLine="0"/>
        <w:jc w:val="left"/>
      </w:pPr>
      <w:r>
        <w:rPr>
          <w:rFonts w:ascii="Times New Roman" w:cs="Times New Roman" w:eastAsia="Times New Roman" w:hAnsi="Times New Roman"/>
          <w:b/>
          <w:bCs/>
          <w:sz w:val="24"/>
          <w:szCs w:val="24"/>
        </w:rPr>
        <w:t xml:space="preserve">Proof of Proposition 3.</w:t>
      </w:r>
      <w:r>
        <w:rPr>
          <w:rFonts w:ascii="Times New Roman" w:cs="Times New Roman" w:eastAsia="Times New Roman" w:hAnsi="Times New Roman"/>
          <w:sz w:val="24"/>
          <w:szCs w:val="24"/>
        </w:rPr>
        <w:t xml:space="preserve"> Under binomial thinning with constant probability p, Var(N_p) = p²Var(N) + p(1 − p)μ by the law of total variance. Dividing by E[N_p] = pμ gives pF + (1 − p) = 1 + p(F − 1). The statement about c follows because thinning multiplies the intensity of each day by p and leaves the multiplier M unchanged. We also verified the identity by simulation (checks/check_thinning.py). ∎</w:t>
      </w:r>
    </w:p>
    <w:p>
      <w:pPr>
        <w:spacing w:after="0" w:line="480"/>
        <w:ind w:firstLine="0"/>
        <w:jc w:val="left"/>
      </w:pPr>
      <w:r>
        <w:rPr>
          <w:rFonts w:ascii="Times New Roman" w:cs="Times New Roman" w:eastAsia="Times New Roman" w:hAnsi="Times New Roman"/>
          <w:b/>
          <w:bCs/>
          <w:sz w:val="24"/>
          <w:szCs w:val="24"/>
        </w:rPr>
        <w:t xml:space="preserve">Proof of Proposition 4.</w:t>
      </w:r>
      <w:r>
        <w:rPr>
          <w:rFonts w:ascii="Times New Roman" w:cs="Times New Roman" w:eastAsia="Times New Roman" w:hAnsi="Times New Roman"/>
          <w:sz w:val="24"/>
          <w:szCs w:val="24"/>
        </w:rPr>
        <w:t xml:space="preserve"> The bounds are the Fréchet-Bonferroni bounds for the probability that no layer fires: 1 − Σc_i ≤ P(no layer fires) ≤ 1 − max_i c_i, with the lower bound truncated at zero. If the indicators of catching are positively associated, P(∩{I_i = 0}) ≥ ΠP(I_i = 0) (Esary et al. 1967). Multiplying by λ₀ gives the stated bounds on λ_N, and Proposition 1(a) transfers them to k∗. ∎</w:t>
      </w:r>
    </w:p>
    <w:p>
      <w:pPr>
        <w:spacing w:after="0" w:line="480"/>
        <w:ind w:firstLine="0"/>
        <w:jc w:val="left"/>
      </w:pPr>
      <w:r>
        <w:rPr>
          <w:rFonts w:ascii="Times New Roman" w:cs="Times New Roman" w:eastAsia="Times New Roman" w:hAnsi="Times New Roman"/>
          <w:b/>
          <w:bCs/>
          <w:sz w:val="24"/>
          <w:szCs w:val="24"/>
        </w:rPr>
        <w:t xml:space="preserve">Proof of Proposition 5.</w:t>
      </w:r>
      <w:r>
        <w:rPr>
          <w:rFonts w:ascii="Times New Roman" w:cs="Times New Roman" w:eastAsia="Times New Roman" w:hAnsi="Times New Roman"/>
          <w:sz w:val="24"/>
          <w:szCs w:val="24"/>
        </w:rPr>
        <w:t xml:space="preserve"> (a) Table 3 is a counterexample to unimodality. (b) For N &gt; N₀ the labour cost is constant at C_hk_min while compute cost increases in N, so such N are dominated by N₀. (c) Write f(N) = g[N + θK(N)] with K(N) = max{k_min, k∗(α, λ_N)} non-increasing in N. The difference f(N + 1) − f(N) = g[1 + θ(K(N + 1) − K(N))] is non-increasing in θ, so f has decreasing differences in (N, θ) and the largest minimiser is non-decreasing in θ by Topkis' (1978) monotone comparative statics. (d) is immediate. ∎</w:t>
      </w:r>
    </w:p>
    <w:p>
      <w:pPr>
        <w:spacing w:after="0" w:line="480"/>
        <w:ind w:firstLine="0"/>
        <w:jc w:val="left"/>
      </w:pPr>
      <w:r>
        <w:rPr>
          <w:rFonts w:ascii="Times New Roman" w:cs="Times New Roman" w:eastAsia="Times New Roman" w:hAnsi="Times New Roman"/>
          <w:b/>
          <w:bCs/>
          <w:sz w:val="24"/>
          <w:szCs w:val="24"/>
        </w:rPr>
        <w:t xml:space="preserve">Proof of Proposition 6.</w:t>
      </w:r>
      <w:r>
        <w:rPr>
          <w:rFonts w:ascii="Times New Roman" w:cs="Times New Roman" w:eastAsia="Times New Roman" w:hAnsi="Times New Roman"/>
          <w:sz w:val="24"/>
          <w:szCs w:val="24"/>
        </w:rPr>
        <w:t xml:space="preserve"> (a) Variances of independent counts add, and the normal approximation of the quantile uses the total variance; the factor √φ_eff is the ratio of the resulting safety stock to that of a Poisson with the same mean. (b) The cluster generated by a background event is a Galton-Watson tree with Poisson(α) offspring. Its total progeny is Borel(α) with mean 1/(1 − α) and second moment 1/(1 − α)³, so E[X²]/E[X] = 1/(1 − α)², and the stationary variance-to-mean ratio of the count of a Hawkes process equals this value in the long-window limit. (c) is Wald's identity for the compound Poisson variance, Var(N) = νE[X²]. ∎</w:t>
      </w:r>
    </w:p>
    <w:p>
      <w:pPr>
        <w:pStyle w:val="Heading1"/>
        <w:keepNext/>
        <w:spacing w:after="120" w:before="360" w:line="360"/>
      </w:pPr>
      <w:r>
        <w:rPr>
          <w:rFonts w:ascii="Times New Roman" w:cs="Times New Roman" w:eastAsia="Times New Roman" w:hAnsi="Times New Roman"/>
          <w:b/>
          <w:bCs/>
          <w:color w:val="000000"/>
          <w:sz w:val="24"/>
          <w:szCs w:val="24"/>
        </w:rPr>
        <w:t xml:space="preserve">Appendix B. Public Data: Sources, Filters and Estimators</w:t>
      </w:r>
    </w:p>
    <w:p>
      <w:pPr>
        <w:spacing w:after="0" w:line="480"/>
        <w:ind w:firstLine="0"/>
        <w:jc w:val="left"/>
      </w:pPr>
      <w:r>
        <w:rPr>
          <w:rFonts w:ascii="Times New Roman" w:cs="Times New Roman" w:eastAsia="Times New Roman" w:hAnsi="Times New Roman"/>
          <w:b/>
          <w:bCs/>
          <w:sz w:val="24"/>
          <w:szCs w:val="24"/>
        </w:rPr>
        <w:t xml:space="preserve">BurstGPT.</w:t>
      </w:r>
      <w:r>
        <w:rPr>
          <w:rFonts w:ascii="Times New Roman" w:cs="Times New Roman" w:eastAsia="Times New Roman" w:hAnsi="Times New Roman"/>
          <w:sz w:val="24"/>
          <w:szCs w:val="24"/>
        </w:rPr>
        <w:t xml:space="preserve"> The trace (Wang et al. 2025; CC BY 4.0) holds 10.6 million request records of regional Azure OpenAI ChatGPT and GPT-4 services at one-second resolution over 231 days, in two contiguous segments of 121 and 110 days separated by an unrecorded gap of 104 days. Timestamps are seconds from an undisclosed day 0, so weekday labels are unknown. Failed requests are rows with zero response tokens. We estimate the hour-of-day profile, the day-to-day variability of request volume (robustly, because volume grows by two orders of magnitude and contains regime shifts) and the within-hour Fano factor of counts at 1 s, 10 s, 1 min and 10 min. The stress test replays the measured daily multipliers, rescaled to mean 1, on event streams with a given mean.</w:t>
      </w:r>
    </w:p>
    <w:p>
      <w:pPr>
        <w:spacing w:after="0" w:line="480"/>
        <w:ind w:firstLine="0"/>
        <w:jc w:val="left"/>
      </w:pPr>
      <w:r>
        <w:rPr>
          <w:rFonts w:ascii="Times New Roman" w:cs="Times New Roman" w:eastAsia="Times New Roman" w:hAnsi="Times New Roman"/>
          <w:b/>
          <w:bCs/>
          <w:sz w:val="24"/>
          <w:szCs w:val="24"/>
        </w:rPr>
        <w:t xml:space="preserve">Provider incidents.</w:t>
      </w:r>
      <w:r>
        <w:rPr>
          <w:rFonts w:ascii="Times New Roman" w:cs="Times New Roman" w:eastAsia="Times New Roman" w:hAnsi="Times New Roman"/>
          <w:sz w:val="24"/>
          <w:szCs w:val="24"/>
        </w:rPr>
        <w:t xml:space="preserve"> The dataset of LLM service outages and incident reports (Chu et al. 2025; CC BY 4.0) contains provider-declared incidents scraped from the status pages of OpenAI, Anthropic and Character.AI. We use the 457 incidents starting in March 2023, when all three pages are populated. We test Poisson counts per day and week (index of dispersion, also stratified by day of week), day-of-week and hour-of-day homogeneity, exponential inter-arrival times after time-rescaling with a fitted hour-of-week intensity, the distribution of incident durations as a proxy for human response time, and the number of concurrently open incidents against the M/G/∞ prediction.</w:t>
      </w:r>
    </w:p>
    <w:p>
      <w:pPr>
        <w:spacing w:after="0" w:line="480"/>
        <w:ind w:firstLine="0"/>
        <w:jc w:val="left"/>
      </w:pPr>
      <w:r>
        <w:rPr>
          <w:rFonts w:ascii="Times New Roman" w:cs="Times New Roman" w:eastAsia="Times New Roman" w:hAnsi="Times New Roman"/>
          <w:b/>
          <w:bCs/>
          <w:sz w:val="24"/>
          <w:szCs w:val="24"/>
        </w:rPr>
        <w:t xml:space="preserve">Ticket logs.</w:t>
      </w:r>
      <w:r>
        <w:rPr>
          <w:rFonts w:ascii="Times New Roman" w:cs="Times New Roman" w:eastAsia="Times New Roman" w:hAnsi="Times New Roman"/>
          <w:sz w:val="24"/>
          <w:szCs w:val="24"/>
        </w:rPr>
        <w:t xml:space="preserve"> The software-company data (Abdellatif 2026) contain 66,691 rows; we keep tickets of type "Ticket" created in 2017 or later and resolved as "Done", which leaves 22,016 tickets with creation, resolution and in-progress times. The work week is detected from the data as the five busiest days (Sunday to Thursday for this company, Monday to Friday for the others). The ServiceNow log (Amaral et al. 2018; 24,918 incidents in 2016 to 2017) has 98.9% of its incidents opened between 29 February and 1 June 2016, so its arrival analysis uses only the middle weeks (7 March to 27 May 2016) and its concurrency is not analysed. The Italian help-desk log (Verenich 2016) contains 3,804 cases from 2010 to 2012. A High/Highest/Blocker subset of the software company is not analysed because its rate rises from about zero to eleven tickets per work day over 2017 to 2023, which reflects a change in the priority field.</w:t>
      </w:r>
    </w:p>
    <w:p>
      <w:pPr>
        <w:spacing w:after="0" w:line="480"/>
        <w:ind w:firstLine="0"/>
        <w:jc w:val="left"/>
      </w:pPr>
      <w:r>
        <w:rPr>
          <w:rFonts w:ascii="Times New Roman" w:cs="Times New Roman" w:eastAsia="Times New Roman" w:hAnsi="Times New Roman"/>
          <w:b/>
          <w:bCs/>
          <w:sz w:val="24"/>
          <w:szCs w:val="24"/>
        </w:rPr>
        <w:t xml:space="preserve">Holiday and low-volume exclusions.</w:t>
      </w:r>
      <w:r>
        <w:rPr>
          <w:rFonts w:ascii="Times New Roman" w:cs="Times New Roman" w:eastAsia="Times New Roman" w:hAnsi="Times New Roman"/>
          <w:sz w:val="24"/>
          <w:szCs w:val="24"/>
        </w:rPr>
        <w:t xml:space="preserve"> Holidays and bridge days produce isolated low-count days that a local mean cannot absorb, so every arrival analysis is reported twice. For the software company and ServiceNow we exclude work days with fewer than 35% of the centred 41-work-day rolling median (62 and 5 days), a rule that is reliable only for high-rate streams. For the Italian help desk we exclude Italian national holidays and Easter Monday (26 days), and for the court cases US federal holidays (10 days).</w:t>
      </w:r>
    </w:p>
    <w:p>
      <w:pPr>
        <w:spacing w:after="0" w:line="480"/>
        <w:ind w:firstLine="0"/>
        <w:jc w:val="left"/>
      </w:pPr>
      <w:r>
        <w:rPr>
          <w:rFonts w:ascii="Times New Roman" w:cs="Times New Roman" w:eastAsia="Times New Roman" w:hAnsi="Times New Roman"/>
          <w:b/>
          <w:bCs/>
          <w:sz w:val="24"/>
          <w:szCs w:val="24"/>
        </w:rPr>
        <w:t xml:space="preserve">Estimators.</w:t>
      </w:r>
      <w:r>
        <w:rPr>
          <w:rFonts w:ascii="Times New Roman" w:cs="Times New Roman" w:eastAsia="Times New Roman" w:hAnsi="Times New Roman"/>
          <w:sz w:val="24"/>
          <w:szCs w:val="24"/>
        </w:rPr>
        <w:t xml:space="preserve"> For each stream we estimate weekday-stratified over-dispersion, the daily-rate coefficient of variation net of slow trends (the Pearson dispersion of weekday counts against a leave-one-out local mean over about eight weeks, after removing the weekday effect), the exceedance rate of Poisson-sized capacity plans, the distribution of resolution and in-progress times (exponential, lognormal and Weibull fits compared by AIC), the daily workload safety factor (95th percentile over mean of handling hours, against arrivals) and the number of concurrently open tickets against the M/G/∞ prediction. The Poisson plan is evaluated twice: against a two-sided local mean over about 40 surrounding work days (in-sample, not a feasible forecast) and causally, with the trailing 20-work-day mean and a coefficient of variation estimated on earlier days only (rolling origin). Weekday effects and the work-week definition are estimated on the full sample, so only the level and the coefficient of variation are strictly causal.</w:t>
      </w:r>
    </w:p>
    <w:p>
      <w:pPr>
        <w:spacing w:after="0" w:line="480"/>
        <w:ind w:firstLine="0"/>
        <w:jc w:val="left"/>
      </w:pPr>
      <w:r>
        <w:rPr>
          <w:rFonts w:ascii="Times New Roman" w:cs="Times New Roman" w:eastAsia="Times New Roman" w:hAnsi="Times New Roman"/>
          <w:b/>
          <w:bCs/>
          <w:sz w:val="24"/>
          <w:szCs w:val="24"/>
        </w:rPr>
        <w:t xml:space="preserve">Court cases.</w:t>
      </w:r>
      <w:r>
        <w:rPr>
          <w:rFonts w:ascii="Times New Roman" w:cs="Times New Roman" w:eastAsia="Times New Roman" w:hAnsi="Times New Roman"/>
          <w:sz w:val="24"/>
          <w:szCs w:val="24"/>
        </w:rPr>
        <w:t xml:space="preserve"> The Charlotin database (Charlotin 2026; CC BY 4.0, accessed 6 October 2026) lists court decisions with AI-fabricated content. We use the decision date at day resolution for October 2025 to August 2026 and analyse weekday counts with the same stratified and local-mean estimators as for tickets. September 2026 (95 cases) and one case in October 2026 are excluded because of reporting lag.</w:t>
      </w:r>
    </w:p>
    <w:p>
      <w:pPr>
        <w:spacing w:after="0" w:line="480"/>
        <w:ind w:firstLine="0"/>
        <w:jc w:val="left"/>
      </w:pPr>
      <w:r>
        <w:rPr>
          <w:rFonts w:ascii="Times New Roman" w:cs="Times New Roman" w:eastAsia="Times New Roman" w:hAnsi="Times New Roman"/>
          <w:b/>
          <w:bCs/>
          <w:sz w:val="24"/>
          <w:szCs w:val="24"/>
        </w:rPr>
        <w:t xml:space="preserve">Typed failure models.</w:t>
      </w:r>
      <w:r>
        <w:rPr>
          <w:rFonts w:ascii="Times New Roman" w:cs="Times New Roman" w:eastAsia="Times New Roman" w:hAnsi="Times New Roman"/>
          <w:sz w:val="24"/>
          <w:szCs w:val="24"/>
        </w:rPr>
        <w:t xml:space="preserve"> The Hawkes estimator was checked by simulation (recovery of μ₀, α and β from synthetic seasonal Hawkes data, and no false excitation when α = 0; checks/check_hawkes_recovery.py). The parametric-bootstrap likelihood-ratio test uses 200 simulations under the NHPP, because the boundary α = 0 invalidates the usual chi-square reference. For BurstGPT failures, outage-like episodes are minutes with more than 20% failed requests and at least five failures, merged when at most ten minutes apart. The Monte Carlo of Section 5.7 simulates 400,000 days (seed 0); the hallucination class uses the measured L1+L2 rate for Qwen2.5-0.5B and an assumed daily-rate coefficient of variation of 0.3 to 0.45, the provider class uses the rate and stratified dispersion index of Section 5.5, and the serving class uses the episode rate over the 231 recorded days with the dispersion index under three treatments.</w:t>
      </w:r>
    </w:p>
    <w:p>
      <w:pPr>
        <w:pStyle w:val="Heading1"/>
        <w:keepNext/>
        <w:spacing w:after="120" w:before="360" w:line="360"/>
      </w:pPr>
      <w:r>
        <w:rPr>
          <w:rFonts w:ascii="Times New Roman" w:cs="Times New Roman" w:eastAsia="Times New Roman" w:hAnsi="Times New Roman"/>
          <w:b/>
          <w:bCs/>
          <w:color w:val="000000"/>
          <w:sz w:val="24"/>
          <w:szCs w:val="24"/>
        </w:rPr>
        <w:t xml:space="preserve">Appendix C. Supplementary Tables</w:t>
      </w:r>
    </w:p>
    <w:p>
      <w:pPr>
        <w:keepNext/>
        <w:spacing w:after="80" w:before="240" w:line="276"/>
      </w:pPr>
      <w:r>
        <w:rPr>
          <w:rFonts w:ascii="Times New Roman" w:cs="Times New Roman" w:eastAsia="Times New Roman" w:hAnsi="Times New Roman"/>
          <w:b/>
          <w:bCs/>
          <w:sz w:val="22"/>
          <w:szCs w:val="22"/>
        </w:rPr>
        <w:t xml:space="preserve">Table C1. Resolution and handling times of tickets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800"/>
        <w:gridCol w:w="800"/>
        <w:gridCol w:w="900"/>
        <w:gridCol w:w="900"/>
        <w:gridCol w:w="600"/>
        <w:gridCol w:w="1660"/>
      </w:tblGrid>
      <w:tr>
        <w:trPr>
          <w:tblHeader/>
        </w:trPr>
        <w:tc>
          <w:tcPr>
            <w:tcW w:type="dxa" w:w="30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Stream / measure</w:t>
            </w:r>
          </w:p>
        </w:tc>
        <w:tc>
          <w:tcPr>
            <w:tcW w:type="dxa" w:w="7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w:t>
            </w:r>
          </w:p>
        </w:tc>
        <w:tc>
          <w:tcPr>
            <w:tcW w:type="dxa" w:w="8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Median</w:t>
            </w:r>
          </w:p>
        </w:tc>
        <w:tc>
          <w:tcPr>
            <w:tcW w:type="dxa" w:w="8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Mean</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90th pct</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99th pct</w:t>
            </w:r>
          </w:p>
        </w:tc>
        <w:tc>
          <w:tcPr>
            <w:tcW w:type="dxa" w:w="6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CV</w:t>
            </w:r>
          </w:p>
        </w:tc>
        <w:tc>
          <w:tcPr>
            <w:tcW w:type="dxa" w:w="16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Best fit (AIC) / Weibull shape</w:t>
            </w:r>
          </w:p>
        </w:tc>
      </w:tr>
      <w:tr>
        <w:trPr>
          <w:cantSplit/>
        </w:trPr>
        <w:tc>
          <w:tcPr>
            <w:tcW w:type="dxa" w:w="3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Software company: creation to resolution</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22,016</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167.8</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698.8</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1487</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8806</w:t>
            </w:r>
          </w:p>
        </w:tc>
        <w:tc>
          <w:tcPr>
            <w:tcW w:type="dxa" w:w="6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weibull / 0.51</w:t>
            </w:r>
          </w:p>
        </w:tc>
      </w:tr>
      <w:tr>
        <w:trPr>
          <w:cantSplit/>
        </w:trPr>
        <w:tc>
          <w:tcPr>
            <w:tcW w:type="dxa" w:w="3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Software company: time in "in progress"</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19,662</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97.3</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1532</w:t>
            </w:r>
          </w:p>
        </w:tc>
        <w:tc>
          <w:tcPr>
            <w:tcW w:type="dxa" w:w="6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3.6</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weibull / 0.30</w:t>
            </w:r>
          </w:p>
        </w:tc>
      </w:tr>
      <w:tr>
        <w:trPr>
          <w:cantSplit/>
        </w:trPr>
        <w:tc>
          <w:tcPr>
            <w:tcW w:type="dxa" w:w="3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ServiceNow: opened to resolved</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23,323</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22.2</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178.5</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382</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2849</w:t>
            </w:r>
          </w:p>
        </w:tc>
        <w:tc>
          <w:tcPr>
            <w:tcW w:type="dxa" w:w="6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weibull / 0.36</w:t>
            </w:r>
          </w:p>
        </w:tc>
      </w:tr>
      <w:tr>
        <w:trPr>
          <w:cantSplit/>
        </w:trPr>
        <w:tc>
          <w:tcPr>
            <w:tcW w:type="dxa" w:w="3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ServiceNow: Critical/High only</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496</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49.7</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172.9</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391</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1086</w:t>
            </w:r>
          </w:p>
        </w:tc>
        <w:tc>
          <w:tcPr>
            <w:tcW w:type="dxa" w:w="6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weibull / 0.55</w:t>
            </w:r>
          </w:p>
        </w:tc>
      </w:tr>
      <w:tr>
        <w:trPr>
          <w:cantSplit/>
        </w:trPr>
        <w:tc>
          <w:tcPr>
            <w:tcW w:type="dxa" w:w="3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Italian help desk: first to last event</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3,803</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94.4</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211.2</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627</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1008</w:t>
            </w:r>
          </w:p>
        </w:tc>
        <w:tc>
          <w:tcPr>
            <w:tcW w:type="dxa" w:w="6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weibull / 0.50</w:t>
            </w:r>
          </w:p>
        </w:tc>
      </w:tr>
    </w:tbl>
    <w:p>
      <w:pPr>
        <w:spacing w:after="240" w:before="60" w:line="240"/>
      </w:pPr>
      <w:r>
        <w:rPr>
          <w:rFonts w:ascii="Times New Roman" w:cs="Times New Roman" w:eastAsia="Times New Roman" w:hAnsi="Times New Roman"/>
          <w:i/>
          <w:iCs/>
          <w:sz w:val="18"/>
          <w:szCs w:val="18"/>
        </w:rPr>
        <w:t xml:space="preserve">Calendar hours including waiting states (customer, vendor, queue); the in-progress measure counts only time in that workflow state. Exponential fits are rejected in every case (KS p &lt; 10⁻³⁰).</w:t>
      </w:r>
    </w:p>
    <w:p>
      <w:pPr>
        <w:keepNext/>
        <w:spacing w:after="80" w:before="240" w:line="276"/>
      </w:pPr>
      <w:r>
        <w:rPr>
          <w:rFonts w:ascii="Times New Roman" w:cs="Times New Roman" w:eastAsia="Times New Roman" w:hAnsi="Times New Roman"/>
          <w:b/>
          <w:bCs/>
          <w:sz w:val="22"/>
          <w:szCs w:val="22"/>
        </w:rPr>
        <w:t xml:space="preserve">Table C2. Seasonal NHPP versus seasonal Hawkes process for provider-declared incidents (March 2023 to August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1350"/>
        <w:gridCol w:w="850"/>
        <w:gridCol w:w="950"/>
        <w:gridCol w:w="850"/>
        <w:gridCol w:w="800"/>
        <w:gridCol w:w="1250"/>
        <w:gridCol w:w="1310"/>
      </w:tblGrid>
      <w:tr>
        <w:trPr>
          <w:tblHeader/>
        </w:trPr>
        <w:tc>
          <w:tcPr>
            <w:tcW w:type="dxa" w:w="1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Stream</w:t>
            </w:r>
          </w:p>
        </w:tc>
        <w:tc>
          <w:tcPr>
            <w:tcW w:type="dxa" w:w="7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Incidents</w:t>
            </w:r>
          </w:p>
        </w:tc>
        <w:tc>
          <w:tcPr>
            <w:tcW w:type="dxa" w:w="13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Baseline</w:t>
            </w:r>
          </w:p>
        </w:tc>
        <w:tc>
          <w:tcPr>
            <w:tcW w:type="dxa" w:w="8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Branching ratio α</w:t>
            </w:r>
          </w:p>
        </w:tc>
        <w:tc>
          <w:tcPr>
            <w:tcW w:type="dxa" w:w="9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Mean cluster size 1/(1−α)</w:t>
            </w:r>
          </w:p>
        </w:tc>
        <w:tc>
          <w:tcPr>
            <w:tcW w:type="dxa" w:w="8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Excitation half-life (h)</w:t>
            </w:r>
          </w:p>
        </w:tc>
        <w:tc>
          <w:tcPr>
            <w:tcW w:type="dxa" w:w="8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AIC gain over NHPP</w:t>
            </w:r>
          </w:p>
        </w:tc>
        <w:tc>
          <w:tcPr>
            <w:tcW w:type="dxa" w:w="12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LR test vs NHPP (bootstrap p)</w:t>
            </w:r>
          </w:p>
        </w:tc>
        <w:tc>
          <w:tcPr>
            <w:tcW w:type="dxa" w:w="131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Rescaled-gap KS p: NHPP → Hawkes</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all providers</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457</w:t>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constant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0.16</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1.19</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7.1</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19.7</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23.7 (≤0.005)</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5×10⁻4 → 0.47</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 monthly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0.07</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1.07</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2.9</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7.5 (0.025)</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0.166 → 0.91</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OpenAI</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280</w:t>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constant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0.11</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1.12</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10.8</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14.8 (≤0.005)</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0.076 → 0.26</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 monthly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0.05</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1.06</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2.6</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6.6 (0.020)</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0.135 → 0.82</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Anthropic</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141</w:t>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constant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0.21</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1.27</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4.2</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26.2</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30.2 (≤0.005)</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1×10⁻6 → 0.13</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 monthly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0.09</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1.10</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6.2 (0.025)</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0.016 → 0.19</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major/critical (impact ≥ 2)</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198</w:t>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constant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0.13</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1.14</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5.8</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9.4</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13.4 (≤0.005)</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5×10⁻4 → 0.13</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 monthly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0.06</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1.06</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3.9</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7.9 (0.015)</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0.115 → 0.44</w:t>
            </w:r>
          </w:p>
        </w:tc>
      </w:tr>
    </w:tbl>
    <w:p>
      <w:pPr>
        <w:spacing w:after="240" w:before="60" w:line="240"/>
      </w:pPr>
      <w:r>
        <w:rPr>
          <w:rFonts w:ascii="Times New Roman" w:cs="Times New Roman" w:eastAsia="Times New Roman" w:hAnsi="Times New Roman"/>
          <w:i/>
          <w:iCs/>
          <w:sz w:val="18"/>
          <w:szCs w:val="18"/>
        </w:rPr>
        <w:t xml:space="preserve">Baseline: weekday/weekend × hour-of-day profile estimated from the incident data and held fixed; the second row of each stream additionally multiplies it by a monthly level estimated from monthly counts. Exponential excitation kernel; bootstrap p from 200 parametric simulations under the corresponding NHPP (smallest possible value 0.005). KS: Kolmogorov-Smirnov test of time-rescaled gaps against Exp(1) with the fitted compensator; the p-values are optimistic because the profile (48 slots), the monthly levels and the Hawkes parameters are all fitted on the same events.</w:t>
      </w:r>
    </w:p>
    <w:p>
      <w:pPr>
        <w:keepNext/>
        <w:spacing w:after="80" w:before="240" w:line="276"/>
      </w:pPr>
      <w:r>
        <w:rPr>
          <w:rFonts w:ascii="Times New Roman" w:cs="Times New Roman" w:eastAsia="Times New Roman" w:hAnsi="Times New Roman"/>
          <w:b/>
          <w:bCs/>
          <w:sz w:val="22"/>
          <w:szCs w:val="22"/>
        </w:rPr>
        <w:t xml:space="preserve">Table C3. Sensitivity of the BurstGPT failure-episode model to the episode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000"/>
        <w:gridCol w:w="900"/>
        <w:gridCol w:w="1100"/>
        <w:gridCol w:w="1200"/>
        <w:gridCol w:w="900"/>
        <w:gridCol w:w="1860"/>
      </w:tblGrid>
      <w:tr>
        <w:trPr>
          <w:tblHeader/>
        </w:trPr>
        <w:tc>
          <w:tcPr>
            <w:tcW w:type="dxa" w:w="1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Failure-share threshold</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Min. failures per minute</w:t>
            </w:r>
          </w:p>
        </w:tc>
        <w:tc>
          <w:tcPr>
            <w:tcW w:type="dxa" w:w="10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Merge gap (min)</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Episodes</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Share of failures</w:t>
            </w:r>
          </w:p>
        </w:tc>
        <w:tc>
          <w:tcPr>
            <w:tcW w:type="dxa" w:w="12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Daily dispersion index</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Hawkes α</w:t>
            </w:r>
          </w:p>
        </w:tc>
        <w:tc>
          <w:tcPr>
            <w:tcW w:type="dxa" w:w="18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Median / 99th pct size</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672</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68.1%</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19.9</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0.85</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78 / 10419</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211</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88.9%</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0.74</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80 / 32372</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279</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96.5%</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0.66</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61 / 30295</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192</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25.6%</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0.52</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43 / 19484</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154</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74.4%</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5.2</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0.78</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259 / 32333</w:t>
            </w:r>
          </w:p>
        </w:tc>
      </w:tr>
    </w:tbl>
    <w:p>
      <w:pPr>
        <w:spacing w:after="240" w:before="60" w:line="240"/>
      </w:pPr>
      <w:r>
        <w:rPr>
          <w:rFonts w:ascii="Times New Roman" w:cs="Times New Roman" w:eastAsia="Times New Roman" w:hAnsi="Times New Roman"/>
          <w:i/>
          <w:iCs/>
          <w:sz w:val="18"/>
          <w:szCs w:val="18"/>
        </w:rPr>
        <w:t xml:space="preserve">The first row (20%, 5, 10) is the definition used in the text. Hawkes fits use 30 bootstrap replications and hour-of-day baselines.</w:t>
      </w:r>
    </w:p>
    <w:p>
      <w:pPr>
        <w:pStyle w:val="Heading1"/>
        <w:keepNext/>
        <w:spacing w:after="120" w:before="360" w:line="360"/>
      </w:pPr>
      <w:r>
        <w:rPr>
          <w:rFonts w:ascii="Times New Roman" w:cs="Times New Roman" w:eastAsia="Times New Roman" w:hAnsi="Times New Roman"/>
          <w:b/>
          <w:bCs/>
          <w:color w:val="000000"/>
          <w:sz w:val="24"/>
          <w:szCs w:val="24"/>
        </w:rPr>
        <w:t xml:space="preserve">Appendix D. Reproducibility and Data Availability</w:t>
      </w:r>
    </w:p>
    <w:p>
      <w:pPr>
        <w:spacing w:after="0" w:line="480"/>
        <w:ind w:firstLine="720"/>
        <w:jc w:val="left"/>
      </w:pPr>
      <w:r>
        <w:rPr>
          <w:rFonts w:ascii="Times New Roman" w:cs="Times New Roman" w:eastAsia="Times New Roman" w:hAnsi="Times New Roman"/>
          <w:sz w:val="24"/>
          <w:szCs w:val="24"/>
        </w:rPr>
        <w:t xml:space="preserve">All code, per-query model outputs, guardrail decisions and analysis scripts are provided in an anonymised repository, the link to which is supplied to the editors with the submission. The experiments run in the order collect (run_experiment.py collect), re-time with the extractive verifier (retime), analyse (run_experiment.py analyze, run_all_analyses.sh), summarise (summarize.py) and build the figures, tables and manuscript (make_figures.py, paper_tables.py, paper/misq/build.js), and every number in the text and tables is generated from the resulting JSON files. The public datasets are not redistributed; they are available from their original sources under the licences stated in Section 4.5 and Appendix B (BurstGPT and the outage dataset under CC BY 4.0, the court-case database under CC BY 4.0, and the ticket logs from Mendeley Data and the UCI repository). Generator and verifier checkpoints are the public Hugging Face releases named in Section 4. All simulations and bootstrap draws are seeded.</w:t>
      </w:r>
    </w:p>
    <w:p>
      <w:pPr>
        <w:pStyle w:val="Heading1"/>
        <w:keepNext/>
        <w:spacing w:after="120" w:before="360" w:line="360"/>
      </w:pPr>
      <w:r>
        <w:rPr>
          <w:rFonts w:ascii="Times New Roman" w:cs="Times New Roman" w:eastAsia="Times New Roman" w:hAnsi="Times New Roman"/>
          <w:b/>
          <w:bCs/>
          <w:color w:val="000000"/>
          <w:sz w:val="24"/>
          <w:szCs w:val="24"/>
        </w:rPr>
        <w:t xml:space="preserve">Appendix E. Use of Generative AI Tools</w:t>
      </w:r>
    </w:p>
    <w:p>
      <w:pPr>
        <w:spacing w:after="0" w:line="480"/>
        <w:ind w:firstLine="720"/>
        <w:jc w:val="left"/>
      </w:pPr>
      <w:r>
        <w:rPr>
          <w:rFonts w:ascii="Times New Roman" w:cs="Times New Roman" w:eastAsia="Times New Roman" w:hAnsi="Times New Roman"/>
          <w:sz w:val="24"/>
          <w:szCs w:val="24"/>
        </w:rPr>
        <w:t xml:space="preserve">[Template to be completed by the authors in line with the journal's policy.] Generative AI tools were used in the development of the analysis code and in drafting and language editing of the manuscript. The authors specified the research design, reviewed and verified all code, analyses, numerical results and references, revised the text, and take full responsibility for the content of the paper. The tools are not listed as authors.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5c9dd99c444879cd5fd1f60a20ce012a8c534cb.png"/><Relationship Id="rId9" Type="http://schemas.openxmlformats.org/officeDocument/2006/relationships/image" Target="media/ddd86b5c20f734153a2e5c6f28b5a85a24ea63c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Readiness for LLM Hallucinations: A Capacity Model for Human Triage and Guardrail Cascades</dc:title>
  <dc:creator>Anonymous</dc:creator>
  <cp:lastModifiedBy>Un-named</cp:lastModifiedBy>
  <cp:revision>1</cp:revision>
  <dcterms:created xsi:type="dcterms:W3CDTF">2026-10-06T10:29:58.162Z</dcterms:created>
  <dcterms:modified xsi:type="dcterms:W3CDTF">2026-10-06T10:29:58.162Z</dcterms:modified>
</cp:coreProperties>
</file>

<file path=docProps/custom.xml><?xml version="1.0" encoding="utf-8"?>
<Properties xmlns="http://schemas.openxmlformats.org/officeDocument/2006/custom-properties" xmlns:vt="http://schemas.openxmlformats.org/officeDocument/2006/docPropsVTypes"/>
</file>